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57E5F1">
      <w:pPr>
        <w:rPr>
          <w:rFonts w:hint="eastAsia" w:ascii="Times New Roman" w:hAnsi="Times New Roman" w:eastAsia="仿宋_GB2312" w:cs="Times New Roman"/>
          <w:color w:val="000000" w:themeColor="text1"/>
          <w:sz w:val="36"/>
          <w:szCs w:val="36"/>
          <w:lang w:val="en-US" w:eastAsia="zh-CN"/>
          <w14:textFill>
            <w14:solidFill>
              <w14:schemeClr w14:val="tx1"/>
            </w14:solidFill>
          </w14:textFill>
        </w:rPr>
      </w:pPr>
      <w:bookmarkStart w:id="13" w:name="_GoBack"/>
      <w:bookmarkEnd w:id="13"/>
      <w:r>
        <w:rPr>
          <w:rFonts w:hint="eastAsia" w:eastAsia="仿宋_GB2312" w:cs="Times New Roman"/>
          <w:color w:val="000000" w:themeColor="text1"/>
          <w:sz w:val="36"/>
          <w:szCs w:val="36"/>
          <w:lang w:val="en-US" w:eastAsia="zh-CN"/>
          <w14:textFill>
            <w14:solidFill>
              <w14:schemeClr w14:val="tx1"/>
            </w14:solidFill>
          </w14:textFill>
        </w:rPr>
        <w:t xml:space="preserve"> </w:t>
      </w:r>
    </w:p>
    <w:p w14:paraId="61102515">
      <w:pPr>
        <w:rPr>
          <w:rFonts w:hint="default" w:ascii="Times New Roman" w:hAnsi="Times New Roman" w:eastAsia="仿宋_GB2312" w:cs="Times New Roman"/>
          <w:color w:val="000000" w:themeColor="text1"/>
          <w:sz w:val="36"/>
          <w:szCs w:val="36"/>
          <w14:textFill>
            <w14:solidFill>
              <w14:schemeClr w14:val="tx1"/>
            </w14:solidFill>
          </w14:textFill>
        </w:rPr>
      </w:pPr>
    </w:p>
    <w:p w14:paraId="3A5B17CC">
      <w:pPr>
        <w:rPr>
          <w:rFonts w:hint="default" w:ascii="Times New Roman" w:hAnsi="Times New Roman" w:eastAsia="仿宋_GB2312" w:cs="Times New Roman"/>
          <w:color w:val="000000" w:themeColor="text1"/>
          <w:sz w:val="36"/>
          <w:szCs w:val="36"/>
          <w14:textFill>
            <w14:solidFill>
              <w14:schemeClr w14:val="tx1"/>
            </w14:solidFill>
          </w14:textFill>
        </w:rPr>
      </w:pPr>
    </w:p>
    <w:p w14:paraId="21DE6014">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28B108C5">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1E696DA9">
      <w:pPr>
        <w:adjustRightInd w:val="0"/>
        <w:snapToGrid w:val="0"/>
        <w:spacing w:line="288" w:lineRule="auto"/>
        <w:jc w:val="center"/>
        <w:outlineLvl w:val="0"/>
        <w:rPr>
          <w:rFonts w:hint="default" w:ascii="Times New Roman" w:hAnsi="Times New Roman" w:eastAsia="华文仿宋" w:cs="Times New Roman"/>
          <w:color w:val="000000" w:themeColor="text1"/>
          <w:kern w:val="44"/>
          <w:sz w:val="44"/>
          <w:szCs w:val="44"/>
          <w14:textFill>
            <w14:solidFill>
              <w14:schemeClr w14:val="tx1"/>
            </w14:solidFill>
          </w14:textFill>
        </w:rPr>
      </w:pPr>
    </w:p>
    <w:p w14:paraId="2C4110D9">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248EB0EA">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02701857">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67FC8C2D">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05BF6424">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0AA7406E">
      <w:pPr>
        <w:adjustRightInd w:val="0"/>
        <w:snapToGrid w:val="0"/>
        <w:spacing w:line="360" w:lineRule="auto"/>
        <w:ind w:firstLine="640" w:firstLineChars="200"/>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项目名称：</w:t>
      </w:r>
      <w:r>
        <w:rPr>
          <w:rFonts w:hint="eastAsia"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eastAsia="仿宋_GB2312" w:cs="Times New Roman"/>
          <w:color w:val="000000" w:themeColor="text1"/>
          <w:spacing w:val="-17"/>
          <w:sz w:val="32"/>
          <w:szCs w:val="32"/>
          <w:u w:val="single"/>
          <w:lang w:val="en-US" w:eastAsia="zh-CN"/>
          <w14:textFill>
            <w14:solidFill>
              <w14:schemeClr w14:val="tx1"/>
            </w14:solidFill>
          </w14:textFill>
        </w:rPr>
        <w:t>陈仓区2024年秸秆综合利用项目</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p>
    <w:p w14:paraId="3CF811F7">
      <w:pPr>
        <w:adjustRightInd w:val="0"/>
        <w:snapToGrid w:val="0"/>
        <w:spacing w:line="360" w:lineRule="auto"/>
        <w:ind w:firstLine="640" w:firstLineChars="200"/>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建设单位：</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eastAsia" w:eastAsia="仿宋_GB2312" w:cs="Times New Roman"/>
          <w:color w:val="000000" w:themeColor="text1"/>
          <w:sz w:val="32"/>
          <w:szCs w:val="32"/>
          <w:u w:val="single"/>
          <w:lang w:val="en-US" w:eastAsia="zh-CN"/>
          <w14:textFill>
            <w14:solidFill>
              <w14:schemeClr w14:val="tx1"/>
            </w14:solidFill>
          </w14:textFill>
        </w:rPr>
        <w:t xml:space="preserve">    宝鸡丰农生物菌制造有限公司</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p>
    <w:p w14:paraId="360C4170">
      <w:pPr>
        <w:adjustRightInd w:val="0"/>
        <w:snapToGrid w:val="0"/>
        <w:spacing w:line="360" w:lineRule="auto"/>
        <w:ind w:firstLine="640" w:firstLineChars="200"/>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编制日期：</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202</w:t>
      </w:r>
      <w:r>
        <w:rPr>
          <w:rFonts w:hint="eastAsia" w:eastAsia="仿宋_GB2312" w:cs="Times New Roman"/>
          <w:color w:val="000000" w:themeColor="text1"/>
          <w:sz w:val="32"/>
          <w:szCs w:val="32"/>
          <w:u w:val="single"/>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u w:val="single"/>
          <w14:textFill>
            <w14:solidFill>
              <w14:schemeClr w14:val="tx1"/>
            </w14:solidFill>
          </w14:textFill>
        </w:rPr>
        <w:t>年</w:t>
      </w:r>
      <w:r>
        <w:rPr>
          <w:rFonts w:hint="eastAsia" w:eastAsia="仿宋_GB2312" w:cs="Times New Roman"/>
          <w:color w:val="000000" w:themeColor="text1"/>
          <w:sz w:val="32"/>
          <w:szCs w:val="32"/>
          <w:u w:val="single"/>
          <w:lang w:val="en-US" w:eastAsia="zh-CN"/>
          <w14:textFill>
            <w14:solidFill>
              <w14:schemeClr w14:val="tx1"/>
            </w14:solidFill>
          </w14:textFill>
        </w:rPr>
        <w:t>10</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月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p>
    <w:p w14:paraId="3378FB5C">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bookmarkStart w:id="0" w:name="_Hlk57884087"/>
    </w:p>
    <w:p w14:paraId="1F52437C">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5C1F1BD2">
      <w:pPr>
        <w:pStyle w:val="14"/>
        <w:rPr>
          <w:rFonts w:hint="default" w:ascii="Times New Roman" w:hAnsi="Times New Roman" w:eastAsia="仿宋_GB2312" w:cs="Times New Roman"/>
          <w:color w:val="000000" w:themeColor="text1"/>
          <w:sz w:val="36"/>
          <w:szCs w:val="36"/>
          <w14:textFill>
            <w14:solidFill>
              <w14:schemeClr w14:val="tx1"/>
            </w14:solidFill>
          </w14:textFill>
        </w:rPr>
      </w:pPr>
    </w:p>
    <w:p w14:paraId="004F0BC8">
      <w:pPr>
        <w:rPr>
          <w:rFonts w:hint="default" w:ascii="Times New Roman" w:hAnsi="Times New Roman" w:eastAsia="仿宋_GB2312" w:cs="Times New Roman"/>
          <w:color w:val="000000" w:themeColor="text1"/>
          <w:sz w:val="36"/>
          <w:szCs w:val="36"/>
          <w14:textFill>
            <w14:solidFill>
              <w14:schemeClr w14:val="tx1"/>
            </w14:solidFill>
          </w14:textFill>
        </w:rPr>
      </w:pPr>
    </w:p>
    <w:p w14:paraId="0EEFA1BA">
      <w:pPr>
        <w:pStyle w:val="14"/>
        <w:rPr>
          <w:rFonts w:hint="default" w:ascii="Times New Roman" w:hAnsi="Times New Roman" w:eastAsia="仿宋_GB2312" w:cs="Times New Roman"/>
          <w:color w:val="000000" w:themeColor="text1"/>
          <w:sz w:val="36"/>
          <w:szCs w:val="36"/>
          <w14:textFill>
            <w14:solidFill>
              <w14:schemeClr w14:val="tx1"/>
            </w14:solidFill>
          </w14:textFill>
        </w:rPr>
      </w:pPr>
    </w:p>
    <w:p w14:paraId="411BA436">
      <w:pPr>
        <w:rPr>
          <w:rFonts w:hint="default" w:ascii="Times New Roman" w:hAnsi="Times New Roman" w:cs="Times New Roman"/>
          <w:color w:val="000000" w:themeColor="text1"/>
          <w14:textFill>
            <w14:solidFill>
              <w14:schemeClr w14:val="tx1"/>
            </w14:solidFill>
          </w14:textFill>
        </w:rPr>
      </w:pPr>
    </w:p>
    <w:bookmarkEnd w:id="0"/>
    <w:p w14:paraId="5E99B6DF">
      <w:pPr>
        <w:adjustRightInd w:val="0"/>
        <w:snapToGrid w:val="0"/>
        <w:spacing w:line="288" w:lineRule="auto"/>
        <w:jc w:val="center"/>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0BD6F5E7">
      <w:pPr>
        <w:adjustRightInd w:val="0"/>
        <w:snapToGrid w:val="0"/>
        <w:spacing w:line="288" w:lineRule="auto"/>
        <w:rPr>
          <w:rFonts w:hint="eastAsia" w:ascii="Times New Roman" w:hAnsi="Times New Roman" w:eastAsia="仿宋_GB2312" w:cs="Times New Roman"/>
          <w:color w:val="000000" w:themeColor="text1"/>
          <w:sz w:val="36"/>
          <w:szCs w:val="36"/>
          <w:lang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FF87A6D">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一、建设项目基本情况</w:t>
      </w:r>
    </w:p>
    <w:tbl>
      <w:tblPr>
        <w:tblStyle w:val="22"/>
        <w:tblW w:w="91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53"/>
        <w:gridCol w:w="990"/>
        <w:gridCol w:w="2276"/>
        <w:gridCol w:w="1979"/>
        <w:gridCol w:w="3155"/>
      </w:tblGrid>
      <w:tr w14:paraId="03366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2B72031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410" w:type="dxa"/>
            <w:gridSpan w:val="3"/>
            <w:noWrap w:val="0"/>
            <w:vAlign w:val="center"/>
          </w:tcPr>
          <w:p w14:paraId="6725EC8B">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陈仓区2024年秸秆综合利用项目</w:t>
            </w:r>
          </w:p>
        </w:tc>
      </w:tr>
      <w:tr w14:paraId="29B6A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2AB4D9DE">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410" w:type="dxa"/>
            <w:gridSpan w:val="3"/>
            <w:noWrap w:val="0"/>
            <w:vAlign w:val="center"/>
          </w:tcPr>
          <w:p w14:paraId="6256B505">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2405-610304-04-05-587416</w:t>
            </w:r>
          </w:p>
        </w:tc>
      </w:tr>
      <w:tr w14:paraId="37A49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78383440">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建设单位联系人</w:t>
            </w:r>
          </w:p>
        </w:tc>
        <w:tc>
          <w:tcPr>
            <w:tcW w:w="2276" w:type="dxa"/>
            <w:noWrap w:val="0"/>
            <w:vAlign w:val="center"/>
          </w:tcPr>
          <w:p w14:paraId="577D728D">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979" w:type="dxa"/>
            <w:noWrap w:val="0"/>
            <w:vAlign w:val="center"/>
          </w:tcPr>
          <w:p w14:paraId="30176A1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3155" w:type="dxa"/>
            <w:noWrap w:val="0"/>
            <w:vAlign w:val="center"/>
          </w:tcPr>
          <w:p w14:paraId="17C6FE0C">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r w14:paraId="386DD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1C479CC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410" w:type="dxa"/>
            <w:gridSpan w:val="3"/>
            <w:noWrap w:val="0"/>
            <w:vAlign w:val="center"/>
          </w:tcPr>
          <w:p w14:paraId="114E4F68">
            <w:pPr>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u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u w:val="none"/>
                <w14:textFill>
                  <w14:solidFill>
                    <w14:schemeClr w14:val="tx1"/>
                  </w14:solidFill>
                </w14:textFill>
              </w:rPr>
              <w:t>陕西省宝鸡市陈仓区阳平镇东风村（原宝鸡东风磷肥厂院内）</w:t>
            </w:r>
          </w:p>
        </w:tc>
      </w:tr>
      <w:tr w14:paraId="24882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5225199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410" w:type="dxa"/>
            <w:gridSpan w:val="3"/>
            <w:noWrap w:val="0"/>
            <w:vAlign w:val="center"/>
          </w:tcPr>
          <w:p w14:paraId="7C731AF7">
            <w:pPr>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u w:val="single"/>
                <w14:textFill>
                  <w14:solidFill>
                    <w14:schemeClr w14:val="tx1"/>
                  </w14:solidFill>
                </w14:textFill>
              </w:rPr>
              <w:t>107</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eastAsia" w:cs="Times New Roman"/>
                <w:color w:val="000000" w:themeColor="text1"/>
                <w:sz w:val="24"/>
                <w:szCs w:val="24"/>
                <w:u w:val="singl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30.104</w:t>
            </w:r>
            <w:r>
              <w:rPr>
                <w:rFonts w:hint="default" w:ascii="Times New Roman" w:hAnsi="Times New Roman" w:eastAsia="宋体" w:cs="Times New Roman"/>
                <w:color w:val="000000" w:themeColor="text1"/>
                <w:sz w:val="24"/>
                <w:szCs w:val="24"/>
                <w14:textFill>
                  <w14:solidFill>
                    <w14:schemeClr w14:val="tx1"/>
                  </w14:solidFill>
                </w14:textFill>
              </w:rPr>
              <w:t>秒，</w:t>
            </w:r>
            <w:r>
              <w:rPr>
                <w:rFonts w:hint="default" w:ascii="Times New Roman" w:hAnsi="Times New Roman" w:eastAsia="宋体" w:cs="Times New Roman"/>
                <w:color w:val="000000" w:themeColor="text1"/>
                <w:sz w:val="24"/>
                <w:szCs w:val="24"/>
                <w:u w:val="single"/>
                <w14:textFill>
                  <w14:solidFill>
                    <w14:schemeClr w14:val="tx1"/>
                  </w14:solidFill>
                </w14:textFill>
              </w:rPr>
              <w:t>34</w:t>
            </w:r>
            <w:r>
              <w:rPr>
                <w:rFonts w:hint="default" w:ascii="Times New Roman" w:hAnsi="Times New Roman" w:eastAsia="宋体" w:cs="Times New Roman"/>
                <w:color w:val="000000" w:themeColor="text1"/>
                <w:sz w:val="24"/>
                <w:szCs w:val="24"/>
                <w14:textFill>
                  <w14:solidFill>
                    <w14:schemeClr w14:val="tx1"/>
                  </w14:solidFill>
                </w14:textFill>
              </w:rPr>
              <w:t>度</w:t>
            </w:r>
            <w:r>
              <w:rPr>
                <w:rFonts w:hint="eastAsia" w:cs="Times New Roman"/>
                <w:color w:val="000000" w:themeColor="text1"/>
                <w:sz w:val="24"/>
                <w:szCs w:val="24"/>
                <w:u w:val="singl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57.914</w:t>
            </w:r>
            <w:r>
              <w:rPr>
                <w:rFonts w:hint="default" w:ascii="Times New Roman" w:hAnsi="Times New Roman" w:eastAsia="宋体" w:cs="Times New Roman"/>
                <w:color w:val="000000" w:themeColor="text1"/>
                <w:sz w:val="24"/>
                <w:szCs w:val="24"/>
                <w14:textFill>
                  <w14:solidFill>
                    <w14:schemeClr w14:val="tx1"/>
                  </w14:solidFill>
                </w14:textFill>
              </w:rPr>
              <w:t>秒）</w:t>
            </w:r>
          </w:p>
        </w:tc>
      </w:tr>
      <w:tr w14:paraId="3751C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43" w:type="dxa"/>
            <w:gridSpan w:val="2"/>
            <w:noWrap w:val="0"/>
            <w:tcMar>
              <w:top w:w="16" w:type="dxa"/>
              <w:left w:w="16" w:type="dxa"/>
              <w:right w:w="16" w:type="dxa"/>
            </w:tcMar>
            <w:vAlign w:val="center"/>
          </w:tcPr>
          <w:p w14:paraId="7432C6F6">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国民经济</w:t>
            </w:r>
          </w:p>
          <w:p w14:paraId="73203123">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2276" w:type="dxa"/>
            <w:noWrap w:val="0"/>
            <w:vAlign w:val="center"/>
          </w:tcPr>
          <w:p w14:paraId="34D9CD00">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2625有机肥料及微生物肥料制造</w:t>
            </w:r>
          </w:p>
        </w:tc>
        <w:tc>
          <w:tcPr>
            <w:tcW w:w="1979" w:type="dxa"/>
            <w:noWrap w:val="0"/>
            <w:vAlign w:val="center"/>
          </w:tcPr>
          <w:p w14:paraId="3A12BCDC">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 w:name="_Hlk49843745"/>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w:t>
            </w:r>
          </w:p>
          <w:p w14:paraId="04B1FE5F">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bookmarkEnd w:id="1"/>
          </w:p>
        </w:tc>
        <w:tc>
          <w:tcPr>
            <w:tcW w:w="3155" w:type="dxa"/>
            <w:noWrap w:val="0"/>
            <w:vAlign w:val="center"/>
          </w:tcPr>
          <w:p w14:paraId="53F0DD51">
            <w:pPr>
              <w:adjustRightInd w:val="0"/>
              <w:snapToGrid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二十三、化学原料和化学制品制造-45、肥料制造</w:t>
            </w:r>
          </w:p>
        </w:tc>
      </w:tr>
      <w:tr w14:paraId="37C47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43" w:type="dxa"/>
            <w:gridSpan w:val="2"/>
            <w:noWrap w:val="0"/>
            <w:tcMar>
              <w:top w:w="16" w:type="dxa"/>
              <w:left w:w="16" w:type="dxa"/>
              <w:right w:w="16" w:type="dxa"/>
            </w:tcMar>
            <w:vAlign w:val="center"/>
          </w:tcPr>
          <w:p w14:paraId="011922C4">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276" w:type="dxa"/>
            <w:noWrap w:val="0"/>
            <w:vAlign w:val="center"/>
          </w:tcPr>
          <w:p w14:paraId="1E36D8EB">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新建（迁建）</w:t>
            </w:r>
          </w:p>
          <w:p w14:paraId="59A94AAD">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改建</w:t>
            </w:r>
          </w:p>
          <w:p w14:paraId="6D4EAD68">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扩建</w:t>
            </w:r>
          </w:p>
          <w:p w14:paraId="7E5CBD6E">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1979" w:type="dxa"/>
            <w:noWrap w:val="0"/>
            <w:vAlign w:val="center"/>
          </w:tcPr>
          <w:p w14:paraId="1AAE14D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593353E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3155" w:type="dxa"/>
            <w:noWrap w:val="0"/>
            <w:vAlign w:val="center"/>
          </w:tcPr>
          <w:p w14:paraId="616B9414">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 xml:space="preserve">首次申报项目             </w:t>
            </w:r>
          </w:p>
          <w:p w14:paraId="62687BC0">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14:paraId="3C30CFB0">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 xml:space="preserve">超五年重新审核项目     </w:t>
            </w:r>
          </w:p>
          <w:p w14:paraId="2E31DB0C">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14:paraId="4CA05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1743" w:type="dxa"/>
            <w:gridSpan w:val="2"/>
            <w:noWrap w:val="0"/>
            <w:tcMar>
              <w:top w:w="16" w:type="dxa"/>
              <w:left w:w="16" w:type="dxa"/>
              <w:right w:w="16" w:type="dxa"/>
            </w:tcMar>
            <w:vAlign w:val="center"/>
          </w:tcPr>
          <w:p w14:paraId="63F7767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项目备案部门</w:t>
            </w:r>
          </w:p>
        </w:tc>
        <w:tc>
          <w:tcPr>
            <w:tcW w:w="2276" w:type="dxa"/>
            <w:noWrap w:val="0"/>
            <w:vAlign w:val="center"/>
          </w:tcPr>
          <w:p w14:paraId="54897F41">
            <w:pPr>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c>
          <w:tcPr>
            <w:tcW w:w="1979" w:type="dxa"/>
            <w:noWrap w:val="0"/>
            <w:vAlign w:val="center"/>
          </w:tcPr>
          <w:p w14:paraId="6A9B10F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项目审批（核准/备案）文号</w:t>
            </w:r>
          </w:p>
        </w:tc>
        <w:tc>
          <w:tcPr>
            <w:tcW w:w="3155" w:type="dxa"/>
            <w:noWrap w:val="0"/>
            <w:vAlign w:val="center"/>
          </w:tcPr>
          <w:p w14:paraId="00B282CE">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14:paraId="31166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5F0BD1C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总投资（万元）</w:t>
            </w:r>
          </w:p>
        </w:tc>
        <w:tc>
          <w:tcPr>
            <w:tcW w:w="2276" w:type="dxa"/>
            <w:noWrap w:val="0"/>
            <w:vAlign w:val="center"/>
          </w:tcPr>
          <w:p w14:paraId="13555A2E">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500.64</w:t>
            </w:r>
          </w:p>
        </w:tc>
        <w:tc>
          <w:tcPr>
            <w:tcW w:w="1979" w:type="dxa"/>
            <w:noWrap w:val="0"/>
            <w:tcMar>
              <w:top w:w="16" w:type="dxa"/>
              <w:left w:w="16" w:type="dxa"/>
              <w:right w:w="16" w:type="dxa"/>
            </w:tcMar>
            <w:vAlign w:val="center"/>
          </w:tcPr>
          <w:p w14:paraId="00A69823">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环保投资（万元）</w:t>
            </w:r>
          </w:p>
        </w:tc>
        <w:tc>
          <w:tcPr>
            <w:tcW w:w="3155" w:type="dxa"/>
            <w:noWrap w:val="0"/>
            <w:vAlign w:val="center"/>
          </w:tcPr>
          <w:p w14:paraId="694DC9B3">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59.1</w:t>
            </w:r>
          </w:p>
        </w:tc>
      </w:tr>
      <w:tr w14:paraId="65D4A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77492D79">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276" w:type="dxa"/>
            <w:noWrap w:val="0"/>
            <w:vAlign w:val="center"/>
          </w:tcPr>
          <w:p w14:paraId="4F43D8A2">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11.8</w:t>
            </w:r>
          </w:p>
        </w:tc>
        <w:tc>
          <w:tcPr>
            <w:tcW w:w="1979" w:type="dxa"/>
            <w:noWrap w:val="0"/>
            <w:tcMar>
              <w:top w:w="16" w:type="dxa"/>
              <w:left w:w="16" w:type="dxa"/>
              <w:right w:w="16" w:type="dxa"/>
            </w:tcMar>
            <w:vAlign w:val="center"/>
          </w:tcPr>
          <w:p w14:paraId="3D4493BB">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3155" w:type="dxa"/>
            <w:noWrap w:val="0"/>
            <w:vAlign w:val="center"/>
          </w:tcPr>
          <w:p w14:paraId="5F1A878A">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个月</w:t>
            </w:r>
          </w:p>
        </w:tc>
      </w:tr>
      <w:tr w14:paraId="741A0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gridSpan w:val="2"/>
            <w:noWrap w:val="0"/>
            <w:tcMar>
              <w:top w:w="16" w:type="dxa"/>
              <w:left w:w="16" w:type="dxa"/>
              <w:right w:w="16" w:type="dxa"/>
            </w:tcMar>
            <w:vAlign w:val="center"/>
          </w:tcPr>
          <w:p w14:paraId="598591D2">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是否开工建设</w:t>
            </w:r>
          </w:p>
        </w:tc>
        <w:tc>
          <w:tcPr>
            <w:tcW w:w="2276" w:type="dxa"/>
            <w:noWrap w:val="0"/>
            <w:vAlign w:val="center"/>
          </w:tcPr>
          <w:p w14:paraId="06639E83">
            <w:pPr>
              <w:adjustRightInd w:val="0"/>
              <w:snapToGrid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否</w:t>
            </w:r>
          </w:p>
          <w:p w14:paraId="2162F065">
            <w:pPr>
              <w:adjustRightInd w:val="0"/>
              <w:snapToGrid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是：</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u w:val="single"/>
                <w14:textFill>
                  <w14:solidFill>
                    <w14:schemeClr w14:val="tx1"/>
                  </w14:solidFill>
                </w14:textFill>
              </w:rPr>
              <w:t xml:space="preserve"> </w:t>
            </w:r>
          </w:p>
        </w:tc>
        <w:tc>
          <w:tcPr>
            <w:tcW w:w="1979" w:type="dxa"/>
            <w:noWrap w:val="0"/>
            <w:tcMar>
              <w:top w:w="16" w:type="dxa"/>
              <w:left w:w="16" w:type="dxa"/>
              <w:right w:w="16" w:type="dxa"/>
            </w:tcMar>
            <w:vAlign w:val="center"/>
          </w:tcPr>
          <w:p w14:paraId="63902F30">
            <w:pPr>
              <w:adjustRightInd w:val="0"/>
              <w:snapToGrid w:val="0"/>
              <w:jc w:val="center"/>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用地（用海）</w:t>
            </w:r>
          </w:p>
          <w:p w14:paraId="252D832F">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面积（m</w:t>
            </w:r>
            <w:r>
              <w:rPr>
                <w:rFonts w:hint="default" w:ascii="Times New Roman" w:hAnsi="Times New Roman"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14:textFill>
                  <w14:solidFill>
                    <w14:schemeClr w14:val="tx1"/>
                  </w14:solidFill>
                </w14:textFill>
              </w:rPr>
              <w:t>）</w:t>
            </w:r>
          </w:p>
        </w:tc>
        <w:tc>
          <w:tcPr>
            <w:tcW w:w="3155" w:type="dxa"/>
            <w:noWrap w:val="0"/>
            <w:vAlign w:val="center"/>
          </w:tcPr>
          <w:p w14:paraId="3635BE5D">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6913.24（本项目用地）</w:t>
            </w:r>
          </w:p>
        </w:tc>
      </w:tr>
      <w:tr w14:paraId="28E7A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743" w:type="dxa"/>
            <w:gridSpan w:val="2"/>
            <w:noWrap w:val="0"/>
            <w:vAlign w:val="center"/>
          </w:tcPr>
          <w:p w14:paraId="58412206">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专项评价设置情况</w:t>
            </w:r>
          </w:p>
        </w:tc>
        <w:tc>
          <w:tcPr>
            <w:tcW w:w="7410" w:type="dxa"/>
            <w:gridSpan w:val="3"/>
            <w:noWrap w:val="0"/>
            <w:vAlign w:val="center"/>
          </w:tcPr>
          <w:p w14:paraId="7B0FDD28">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无</w:t>
            </w:r>
          </w:p>
        </w:tc>
      </w:tr>
      <w:tr w14:paraId="1C124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43" w:type="dxa"/>
            <w:gridSpan w:val="2"/>
            <w:noWrap w:val="0"/>
            <w:vAlign w:val="center"/>
          </w:tcPr>
          <w:p w14:paraId="0F9B0714">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7410" w:type="dxa"/>
            <w:gridSpan w:val="3"/>
            <w:noWrap w:val="0"/>
            <w:vAlign w:val="center"/>
          </w:tcPr>
          <w:p w14:paraId="28A0538F">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无</w:t>
            </w:r>
          </w:p>
        </w:tc>
      </w:tr>
      <w:tr w14:paraId="14B6E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743" w:type="dxa"/>
            <w:gridSpan w:val="2"/>
            <w:noWrap w:val="0"/>
            <w:vAlign w:val="center"/>
          </w:tcPr>
          <w:p w14:paraId="47B83170">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规划环境影响评价情况</w:t>
            </w:r>
          </w:p>
        </w:tc>
        <w:tc>
          <w:tcPr>
            <w:tcW w:w="7410" w:type="dxa"/>
            <w:gridSpan w:val="3"/>
            <w:noWrap w:val="0"/>
            <w:vAlign w:val="center"/>
          </w:tcPr>
          <w:p w14:paraId="4F5E6904">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无</w:t>
            </w:r>
          </w:p>
        </w:tc>
      </w:tr>
      <w:tr w14:paraId="46592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3" w:type="dxa"/>
            <w:gridSpan w:val="2"/>
            <w:noWrap w:val="0"/>
            <w:vAlign w:val="center"/>
          </w:tcPr>
          <w:p w14:paraId="3BA0E43E">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规划及规划环境影响评价符合性分析</w:t>
            </w:r>
          </w:p>
        </w:tc>
        <w:tc>
          <w:tcPr>
            <w:tcW w:w="7410" w:type="dxa"/>
            <w:gridSpan w:val="3"/>
            <w:noWrap w:val="0"/>
            <w:vAlign w:val="center"/>
          </w:tcPr>
          <w:p w14:paraId="434BC95B">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无</w:t>
            </w:r>
          </w:p>
        </w:tc>
      </w:tr>
      <w:tr w14:paraId="0469F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53" w:type="dxa"/>
            <w:noWrap w:val="0"/>
            <w:vAlign w:val="center"/>
          </w:tcPr>
          <w:p w14:paraId="7252A326">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其他符合性分析</w:t>
            </w:r>
          </w:p>
        </w:tc>
        <w:tc>
          <w:tcPr>
            <w:tcW w:w="8400" w:type="dxa"/>
            <w:gridSpan w:val="4"/>
            <w:noWrap w:val="0"/>
            <w:vAlign w:val="center"/>
          </w:tcPr>
          <w:p w14:paraId="0AC96E44">
            <w:pPr>
              <w:keepNext/>
              <w:keepLines/>
              <w:widowControl/>
              <w:adjustRightInd w:val="0"/>
              <w:snapToGrid w:val="0"/>
              <w:spacing w:line="360" w:lineRule="auto"/>
              <w:ind w:firstLine="482" w:firstLineChars="200"/>
              <w:jc w:val="left"/>
              <w:outlineLvl w:val="1"/>
              <w:rPr>
                <w:rFonts w:hint="default" w:ascii="Times New Roman" w:hAnsi="Times New Roman" w:eastAsia="宋体" w:cs="Times New Roman"/>
                <w:b/>
                <w:bCs w:val="0"/>
                <w:color w:val="auto"/>
                <w:sz w:val="24"/>
                <w:szCs w:val="24"/>
              </w:rPr>
            </w:pPr>
            <w:r>
              <w:rPr>
                <w:rFonts w:hint="eastAsia"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val="0"/>
                <w:color w:val="auto"/>
                <w:sz w:val="24"/>
                <w:szCs w:val="24"/>
              </w:rPr>
              <w:t>建设项目所在地“三线一单”符合性分析</w:t>
            </w:r>
          </w:p>
          <w:p w14:paraId="0A4A9D12">
            <w:pPr>
              <w:numPr>
                <w:ilvl w:val="0"/>
                <w:numId w:val="0"/>
              </w:numPr>
              <w:bidi w:val="0"/>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陕西省生态环境厅文件陕环办发【2022】76文件、《陕西省“三线一单”生态环境分区管理应用技术指南》，环境影响评价（试行）通知，进行建设项目与“三线一单”生态环境分区管控符合性分析，采用一图、一表、一说明的形式表达。</w:t>
            </w:r>
          </w:p>
          <w:p w14:paraId="238E9CB0">
            <w:pPr>
              <w:numPr>
                <w:ilvl w:val="0"/>
                <w:numId w:val="0"/>
              </w:numPr>
              <w:bidi w:val="0"/>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（1）“一图”，项目与环境管控单元对照分析示意图</w:t>
            </w:r>
          </w:p>
          <w:p w14:paraId="0459F7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项目位于宝鸡市陈仓区阳平镇东风村，根据陕西省“三线一单”数据应用管理平台，形成对照分析示意图，图中所示本项目位于环境管控重点管控单元。管控单元对照分析示意图见下图。</w:t>
            </w:r>
          </w:p>
          <w:p w14:paraId="2D88021C">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3093720</wp:posOffset>
                      </wp:positionH>
                      <wp:positionV relativeFrom="paragraph">
                        <wp:posOffset>895985</wp:posOffset>
                      </wp:positionV>
                      <wp:extent cx="991870" cy="323850"/>
                      <wp:effectExtent l="6350" t="6350" r="11430" b="812800"/>
                      <wp:wrapNone/>
                      <wp:docPr id="30" name="矩形标注 30"/>
                      <wp:cNvGraphicFramePr/>
                      <a:graphic xmlns:a="http://schemas.openxmlformats.org/drawingml/2006/main">
                        <a:graphicData uri="http://schemas.microsoft.com/office/word/2010/wordprocessingShape">
                          <wps:wsp>
                            <wps:cNvSpPr/>
                            <wps:spPr>
                              <a:xfrm>
                                <a:off x="4280535" y="3990975"/>
                                <a:ext cx="991870" cy="323850"/>
                              </a:xfrm>
                              <a:prstGeom prst="wedgeRectCallout">
                                <a:avLst>
                                  <a:gd name="adj1" fmla="val -46965"/>
                                  <a:gd name="adj2" fmla="val 287058"/>
                                </a:avLst>
                              </a:prstGeom>
                              <a:solidFill>
                                <a:srgbClr val="5B9BD5">
                                  <a:alpha val="15000"/>
                                </a:srgbClr>
                              </a:solidFill>
                              <a:ln w="12700" cap="flat" cmpd="sng" algn="ctr">
                                <a:solidFill>
                                  <a:srgbClr val="000000"/>
                                </a:solidFill>
                                <a:prstDash val="solid"/>
                                <a:miter lim="800000"/>
                              </a:ln>
                              <a:effectLst/>
                            </wps:spPr>
                            <wps:txbx>
                              <w:txbxContent>
                                <w:p w14:paraId="3C35609A">
                                  <w:pPr>
                                    <w:jc w:val="center"/>
                                    <w:rPr>
                                      <w:rFonts w:hint="default" w:eastAsia="宋体"/>
                                      <w:lang w:val="en-US" w:eastAsia="zh-CN"/>
                                    </w:rPr>
                                  </w:pPr>
                                  <w:r>
                                    <w:rPr>
                                      <w:rFonts w:hint="eastAsia"/>
                                      <w:lang w:val="en-US" w:eastAsia="zh-CN"/>
                                    </w:rPr>
                                    <w:t>建设项目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3.6pt;margin-top:70.55pt;height:25.5pt;width:78.1pt;z-index:251660288;v-text-anchor:middle;mso-width-relative:page;mso-height-relative:page;" fillcolor="#5B9BD5" filled="t" stroked="t" coordsize="21600,21600" o:gfxdata="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IAEo1toAAAALAQAADwAAAAAAAAABACAAAAAiAAAAZHJzL2Rvd25yZXYueG1sUEsBAhQAFAAA&#10;AAgAh07iQEfrdhHRAgAAoAUAAA4AAAAAAAAAAQAgAAAAKQEAAGRycy9lMm9Eb2MueG1sUEsFBgAA&#10;AAAGAAYAWQEAAGwGAAAAAA==&#10;" adj="656,72805">
                      <v:fill on="t" opacity="9830f" focussize="0,0"/>
                      <v:stroke weight="1pt" color="#000000" miterlimit="8" joinstyle="miter"/>
                      <v:imagedata o:title=""/>
                      <o:lock v:ext="edit" aspectratio="f"/>
                      <v:textbox>
                        <w:txbxContent>
                          <w:p w14:paraId="3C35609A">
                            <w:pPr>
                              <w:jc w:val="center"/>
                              <w:rPr>
                                <w:rFonts w:hint="default" w:eastAsia="宋体"/>
                                <w:lang w:val="en-US" w:eastAsia="zh-CN"/>
                              </w:rPr>
                            </w:pPr>
                            <w:r>
                              <w:rPr>
                                <w:rFonts w:hint="eastAsia"/>
                                <w:lang w:val="en-US" w:eastAsia="zh-CN"/>
                              </w:rPr>
                              <w:t>建设项目</w:t>
                            </w:r>
                          </w:p>
                        </w:txbxContent>
                      </v:textbox>
                    </v:shape>
                  </w:pict>
                </mc:Fallback>
              </mc:AlternateContent>
            </w:r>
            <w:r>
              <w:drawing>
                <wp:inline distT="0" distB="0" distL="114300" distR="114300">
                  <wp:extent cx="4820920" cy="4822190"/>
                  <wp:effectExtent l="0" t="0" r="17780" b="165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0"/>
                          <a:stretch>
                            <a:fillRect/>
                          </a:stretch>
                        </pic:blipFill>
                        <pic:spPr>
                          <a:xfrm>
                            <a:off x="0" y="0"/>
                            <a:ext cx="4820920" cy="4822190"/>
                          </a:xfrm>
                          <a:prstGeom prst="rect">
                            <a:avLst/>
                          </a:prstGeom>
                          <a:noFill/>
                          <a:ln>
                            <a:noFill/>
                          </a:ln>
                        </pic:spPr>
                      </pic:pic>
                    </a:graphicData>
                  </a:graphic>
                </wp:inline>
              </w:drawing>
            </w:r>
          </w:p>
          <w:p w14:paraId="02792D4A">
            <w:pPr>
              <w:numPr>
                <w:ilvl w:val="0"/>
                <w:numId w:val="0"/>
              </w:num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图1-1  项目与环境管控单元对照分析示意图</w:t>
            </w:r>
          </w:p>
          <w:p w14:paraId="697D2299">
            <w:pPr>
              <w:spacing w:line="360" w:lineRule="auto"/>
              <w:ind w:firstLine="480" w:firstLineChars="200"/>
              <w:rPr>
                <w:color w:val="auto"/>
                <w:sz w:val="24"/>
                <w:szCs w:val="24"/>
              </w:rPr>
            </w:pPr>
            <w:r>
              <w:rPr>
                <w:rFonts w:hint="eastAsia"/>
                <w:color w:val="auto"/>
                <w:sz w:val="24"/>
                <w:szCs w:val="24"/>
                <w:lang w:val="en-US" w:eastAsia="zh-CN"/>
              </w:rPr>
              <w:t>（2）</w:t>
            </w:r>
            <w:r>
              <w:rPr>
                <w:rFonts w:hint="eastAsia"/>
                <w:color w:val="auto"/>
                <w:sz w:val="24"/>
                <w:szCs w:val="24"/>
              </w:rPr>
              <w:t>“一表”，项目涉及的生态环境管控单元准入清单</w:t>
            </w:r>
          </w:p>
          <w:p w14:paraId="44292A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val="0"/>
                <w:color w:val="auto"/>
                <w:kern w:val="0"/>
                <w:sz w:val="24"/>
                <w:szCs w:val="24"/>
                <w:lang w:val="en-US" w:eastAsia="zh-CN" w:bidi="ar-SA"/>
              </w:rPr>
              <w:t>本项目建设区域属于《宝鸡市“三线一单”生态环境分区管控方案》中</w:t>
            </w:r>
            <w:r>
              <w:rPr>
                <w:rFonts w:hint="eastAsia" w:ascii="Times New Roman" w:hAnsi="Times New Roman" w:eastAsia="宋体" w:cs="Times New Roman"/>
                <w:b w:val="0"/>
                <w:bCs w:val="0"/>
                <w:color w:val="auto"/>
                <w:kern w:val="0"/>
                <w:sz w:val="24"/>
                <w:szCs w:val="24"/>
                <w:lang w:val="en-US" w:eastAsia="zh-CN" w:bidi="ar-SA"/>
              </w:rPr>
              <w:t>重点</w:t>
            </w:r>
            <w:r>
              <w:rPr>
                <w:rFonts w:hint="default" w:ascii="Times New Roman" w:hAnsi="Times New Roman" w:eastAsia="宋体" w:cs="Times New Roman"/>
                <w:b w:val="0"/>
                <w:bCs w:val="0"/>
                <w:color w:val="auto"/>
                <w:kern w:val="0"/>
                <w:sz w:val="24"/>
                <w:szCs w:val="24"/>
                <w:lang w:val="en-US" w:eastAsia="zh-CN" w:bidi="ar-SA"/>
              </w:rPr>
              <w:t>管控单元范围内。本项目与环境管控单元管控要求符合性分析见表1-</w:t>
            </w:r>
            <w:r>
              <w:rPr>
                <w:rFonts w:hint="eastAsia" w:ascii="Times New Roman" w:hAnsi="Times New Roman" w:cs="Times New Roman"/>
                <w:b w:val="0"/>
                <w:bCs w:val="0"/>
                <w:color w:val="auto"/>
                <w:kern w:val="0"/>
                <w:sz w:val="24"/>
                <w:szCs w:val="24"/>
                <w:lang w:val="en-US" w:eastAsia="zh-CN" w:bidi="ar-SA"/>
              </w:rPr>
              <w:t>1</w:t>
            </w:r>
            <w:r>
              <w:rPr>
                <w:rFonts w:hint="eastAsia" w:ascii="Times New Roman" w:hAnsi="Times New Roman" w:eastAsia="宋体" w:cs="Times New Roman"/>
                <w:b w:val="0"/>
                <w:bCs w:val="0"/>
                <w:color w:val="auto"/>
                <w:kern w:val="0"/>
                <w:sz w:val="24"/>
                <w:szCs w:val="24"/>
                <w:lang w:val="en-US" w:eastAsia="zh-CN" w:bidi="ar-SA"/>
              </w:rPr>
              <w:t>。</w:t>
            </w:r>
          </w:p>
          <w:p w14:paraId="683742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表1-1   本项目与</w:t>
            </w:r>
            <w:r>
              <w:rPr>
                <w:rFonts w:hint="default" w:ascii="Times New Roman" w:hAnsi="Times New Roman" w:eastAsia="宋体" w:cs="Times New Roman"/>
                <w:b/>
                <w:color w:val="auto"/>
                <w:sz w:val="21"/>
                <w:szCs w:val="21"/>
                <w:lang w:val="en-US" w:eastAsia="zh-CN"/>
              </w:rPr>
              <w:t>环境管控单元管控</w:t>
            </w:r>
            <w:r>
              <w:rPr>
                <w:rFonts w:hint="eastAsia" w:ascii="Times New Roman" w:hAnsi="Times New Roman" w:eastAsia="宋体" w:cs="Times New Roman"/>
                <w:b/>
                <w:color w:val="auto"/>
                <w:sz w:val="21"/>
                <w:szCs w:val="21"/>
                <w:lang w:val="en-US" w:eastAsia="zh-CN"/>
              </w:rPr>
              <w:t>要求符合性分析一览表</w:t>
            </w:r>
          </w:p>
          <w:tbl>
            <w:tblPr>
              <w:tblStyle w:val="60"/>
              <w:tblW w:w="498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8"/>
              <w:gridCol w:w="337"/>
              <w:gridCol w:w="322"/>
              <w:gridCol w:w="547"/>
              <w:gridCol w:w="563"/>
              <w:gridCol w:w="540"/>
              <w:gridCol w:w="3190"/>
              <w:gridCol w:w="1517"/>
              <w:gridCol w:w="691"/>
            </w:tblGrid>
            <w:tr w14:paraId="3A4D0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6" w:hRule="atLeast"/>
                <w:jc w:val="center"/>
              </w:trPr>
              <w:tc>
                <w:tcPr>
                  <w:tcW w:w="257" w:type="pct"/>
                  <w:tcBorders>
                    <w:tl2br w:val="nil"/>
                    <w:tr2bl w:val="nil"/>
                  </w:tcBorders>
                  <w:noWrap w:val="0"/>
                  <w:vAlign w:val="center"/>
                </w:tcPr>
                <w:p w14:paraId="00F886B2">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07" w:type="pct"/>
                  <w:tcBorders>
                    <w:tl2br w:val="nil"/>
                    <w:tr2bl w:val="nil"/>
                  </w:tcBorders>
                  <w:noWrap w:val="0"/>
                  <w:vAlign w:val="center"/>
                </w:tcPr>
                <w:p w14:paraId="7715ADA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市</w:t>
                  </w:r>
                  <w:r>
                    <w:rPr>
                      <w:rFonts w:hint="eastAsia" w:ascii="Times New Roman" w:hAnsi="Times New Roman" w:eastAsia="宋体" w:cs="Times New Roman"/>
                      <w:b/>
                      <w:bCs/>
                      <w:color w:val="auto"/>
                      <w:sz w:val="21"/>
                      <w:szCs w:val="21"/>
                      <w:lang w:eastAsia="zh-CN"/>
                    </w:rPr>
                    <w:t>（区）</w:t>
                  </w:r>
                </w:p>
              </w:tc>
              <w:tc>
                <w:tcPr>
                  <w:tcW w:w="198" w:type="pct"/>
                  <w:tcBorders>
                    <w:tl2br w:val="nil"/>
                    <w:tr2bl w:val="nil"/>
                  </w:tcBorders>
                  <w:noWrap w:val="0"/>
                  <w:vAlign w:val="center"/>
                </w:tcPr>
                <w:p w14:paraId="51AF4E9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区县</w:t>
                  </w:r>
                </w:p>
              </w:tc>
              <w:tc>
                <w:tcPr>
                  <w:tcW w:w="336" w:type="pct"/>
                  <w:tcBorders>
                    <w:tl2br w:val="nil"/>
                    <w:tr2bl w:val="nil"/>
                  </w:tcBorders>
                  <w:noWrap w:val="0"/>
                  <w:vAlign w:val="center"/>
                </w:tcPr>
                <w:p w14:paraId="421718B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346" w:type="pct"/>
                  <w:tcBorders>
                    <w:tl2br w:val="nil"/>
                    <w:tr2bl w:val="nil"/>
                  </w:tcBorders>
                  <w:noWrap w:val="0"/>
                  <w:vAlign w:val="center"/>
                </w:tcPr>
                <w:p w14:paraId="1F843E1C">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单元要素属性</w:t>
                  </w:r>
                </w:p>
              </w:tc>
              <w:tc>
                <w:tcPr>
                  <w:tcW w:w="332" w:type="pct"/>
                  <w:tcBorders>
                    <w:tl2br w:val="nil"/>
                    <w:tr2bl w:val="nil"/>
                  </w:tcBorders>
                  <w:noWrap w:val="0"/>
                  <w:vAlign w:val="center"/>
                </w:tcPr>
                <w:p w14:paraId="60B29A9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管控要求分类</w:t>
                  </w:r>
                </w:p>
              </w:tc>
              <w:tc>
                <w:tcPr>
                  <w:tcW w:w="1963" w:type="pct"/>
                  <w:tcBorders>
                    <w:tl2br w:val="nil"/>
                    <w:tr2bl w:val="nil"/>
                  </w:tcBorders>
                  <w:noWrap w:val="0"/>
                  <w:vAlign w:val="center"/>
                </w:tcPr>
                <w:p w14:paraId="4EDE8E1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933" w:type="pct"/>
                  <w:tcBorders>
                    <w:tl2br w:val="nil"/>
                    <w:tr2bl w:val="nil"/>
                  </w:tcBorders>
                  <w:noWrap w:val="0"/>
                  <w:vAlign w:val="center"/>
                </w:tcPr>
                <w:p w14:paraId="33896E0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符合性分析</w:t>
                  </w:r>
                </w:p>
              </w:tc>
              <w:tc>
                <w:tcPr>
                  <w:tcW w:w="425" w:type="pct"/>
                  <w:tcBorders>
                    <w:tl2br w:val="nil"/>
                    <w:tr2bl w:val="nil"/>
                  </w:tcBorders>
                  <w:noWrap w:val="0"/>
                  <w:vAlign w:val="center"/>
                </w:tcPr>
                <w:p w14:paraId="3AB92EC0">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是否符合</w:t>
                  </w:r>
                </w:p>
              </w:tc>
            </w:tr>
            <w:tr w14:paraId="0B8F70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8" w:hRule="atLeast"/>
                <w:jc w:val="center"/>
              </w:trPr>
              <w:tc>
                <w:tcPr>
                  <w:tcW w:w="257" w:type="pct"/>
                  <w:vMerge w:val="restart"/>
                  <w:tcBorders>
                    <w:tl2br w:val="nil"/>
                    <w:tr2bl w:val="nil"/>
                  </w:tcBorders>
                  <w:noWrap w:val="0"/>
                  <w:vAlign w:val="center"/>
                </w:tcPr>
                <w:p w14:paraId="4C235460">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7" w:type="pct"/>
                  <w:vMerge w:val="restart"/>
                  <w:tcBorders>
                    <w:tl2br w:val="nil"/>
                    <w:tr2bl w:val="nil"/>
                  </w:tcBorders>
                  <w:noWrap w:val="0"/>
                  <w:vAlign w:val="center"/>
                </w:tcPr>
                <w:p w14:paraId="1C7187B7">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宝鸡市</w:t>
                  </w:r>
                </w:p>
              </w:tc>
              <w:tc>
                <w:tcPr>
                  <w:tcW w:w="198" w:type="pct"/>
                  <w:vMerge w:val="restart"/>
                  <w:tcBorders>
                    <w:tl2br w:val="nil"/>
                    <w:tr2bl w:val="nil"/>
                  </w:tcBorders>
                  <w:noWrap w:val="0"/>
                  <w:vAlign w:val="center"/>
                </w:tcPr>
                <w:p w14:paraId="2C9C9457">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陈仓区</w:t>
                  </w:r>
                </w:p>
              </w:tc>
              <w:tc>
                <w:tcPr>
                  <w:tcW w:w="336" w:type="pct"/>
                  <w:vMerge w:val="restart"/>
                  <w:tcBorders>
                    <w:tl2br w:val="nil"/>
                    <w:tr2bl w:val="nil"/>
                  </w:tcBorders>
                  <w:noWrap w:val="0"/>
                  <w:vAlign w:val="center"/>
                </w:tcPr>
                <w:p w14:paraId="29D1CED8">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重点管控单元</w:t>
                  </w:r>
                </w:p>
                <w:p w14:paraId="02E6791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p w14:paraId="77A17A5C">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346" w:type="pct"/>
                  <w:vMerge w:val="restart"/>
                  <w:tcBorders>
                    <w:tl2br w:val="nil"/>
                    <w:tr2bl w:val="nil"/>
                  </w:tcBorders>
                  <w:noWrap w:val="0"/>
                  <w:vAlign w:val="center"/>
                </w:tcPr>
                <w:p w14:paraId="76A9B7A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 气</w:t>
                  </w:r>
                </w:p>
                <w:p w14:paraId="2A968B2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 境</w:t>
                  </w:r>
                </w:p>
                <w:p w14:paraId="0D265DD8">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 局</w:t>
                  </w:r>
                </w:p>
                <w:p w14:paraId="02653D4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敏 感</w:t>
                  </w:r>
                </w:p>
                <w:p w14:paraId="0E44AEEB">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 点</w:t>
                  </w:r>
                </w:p>
                <w:p w14:paraId="3D27CE2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 控</w:t>
                  </w:r>
                </w:p>
                <w:p w14:paraId="0B0FF66E">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区、水</w:t>
                  </w:r>
                </w:p>
                <w:p w14:paraId="61FF5F99">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 境</w:t>
                  </w:r>
                </w:p>
                <w:p w14:paraId="1A611D57">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城 镇</w:t>
                  </w:r>
                </w:p>
                <w:p w14:paraId="69F8B032">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 活</w:t>
                  </w:r>
                </w:p>
                <w:p w14:paraId="2BB99EBE">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 染</w:t>
                  </w:r>
                </w:p>
                <w:p w14:paraId="7D78AAE8">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 点</w:t>
                  </w:r>
                </w:p>
                <w:p w14:paraId="191A4DB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 控</w:t>
                  </w:r>
                </w:p>
                <w:p w14:paraId="32CE7BA9">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区</w:t>
                  </w:r>
                </w:p>
              </w:tc>
              <w:tc>
                <w:tcPr>
                  <w:tcW w:w="332" w:type="pct"/>
                  <w:vMerge w:val="restart"/>
                  <w:tcBorders>
                    <w:tl2br w:val="nil"/>
                    <w:tr2bl w:val="nil"/>
                  </w:tcBorders>
                  <w:noWrap w:val="0"/>
                  <w:vAlign w:val="center"/>
                </w:tcPr>
                <w:p w14:paraId="3E091E3B">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1963" w:type="pct"/>
                  <w:tcBorders>
                    <w:tl2br w:val="nil"/>
                    <w:tr2bl w:val="nil"/>
                  </w:tcBorders>
                  <w:noWrap w:val="0"/>
                  <w:vAlign w:val="center"/>
                </w:tcPr>
                <w:p w14:paraId="3A5FA8F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大气环境布局敏感重点管控区：1.严格控制新增《陕西省“两高”项目管理暂行目录》行业项目（民生等项目除外，后续对“两高”范围国家如有新规定的，从其规定）。</w:t>
                  </w:r>
                </w:p>
                <w:p w14:paraId="63F745AE">
                  <w:pPr>
                    <w:keepNext w:val="0"/>
                    <w:keepLines w:val="0"/>
                    <w:pageBreakBefore w:val="0"/>
                    <w:widowControl w:val="0"/>
                    <w:numPr>
                      <w:ilvl w:val="0"/>
                      <w:numId w:val="2"/>
                    </w:numPr>
                    <w:kinsoku/>
                    <w:wordWrap w:val="0"/>
                    <w:overflowPunct/>
                    <w:topLinePunct w:val="0"/>
                    <w:autoSpaceDE/>
                    <w:autoSpaceDN/>
                    <w:bidi w:val="0"/>
                    <w:adjustRightInd/>
                    <w:snapToGrid/>
                    <w:spacing w:line="240" w:lineRule="auto"/>
                    <w:ind w:left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严禁新增钢铁、焦化、水泥熟料、平板玻璃、电解铝、氧化铝、煤化工产能。</w:t>
                  </w:r>
                </w:p>
                <w:p w14:paraId="5DE014A1">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3.推动重污染企业搬迁入园或依法关闭，实施工业企业退城搬迁改造</w:t>
                  </w:r>
                  <w:r>
                    <w:rPr>
                      <w:rFonts w:hint="eastAsia" w:cs="Times New Roman"/>
                      <w:color w:val="auto"/>
                      <w:sz w:val="21"/>
                      <w:szCs w:val="21"/>
                      <w:lang w:val="en-US" w:eastAsia="zh-CN"/>
                    </w:rPr>
                    <w:t>。</w:t>
                  </w:r>
                </w:p>
              </w:tc>
              <w:tc>
                <w:tcPr>
                  <w:tcW w:w="933" w:type="pct"/>
                  <w:tcBorders>
                    <w:tl2br w:val="nil"/>
                    <w:tr2bl w:val="nil"/>
                  </w:tcBorders>
                  <w:noWrap w:val="0"/>
                  <w:vAlign w:val="center"/>
                </w:tcPr>
                <w:p w14:paraId="5FDF6463">
                  <w:pPr>
                    <w:pStyle w:val="14"/>
                    <w:keepNext w:val="0"/>
                    <w:keepLines w:val="0"/>
                    <w:pageBreakBefore w:val="0"/>
                    <w:widowControl w:val="0"/>
                    <w:numPr>
                      <w:ilvl w:val="0"/>
                      <w:numId w:val="0"/>
                    </w:numPr>
                    <w:tabs>
                      <w:tab w:val="left" w:pos="2340"/>
                    </w:tabs>
                    <w:kinsoku/>
                    <w:wordWrap/>
                    <w:overflowPunct/>
                    <w:topLinePunct w:val="0"/>
                    <w:autoSpaceDE w:val="0"/>
                    <w:autoSpaceDN w:val="0"/>
                    <w:bidi w:val="0"/>
                    <w:adjustRightInd/>
                    <w:snapToGrid/>
                    <w:spacing w:after="0" w:line="240" w:lineRule="auto"/>
                    <w:ind w:lef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本项目为肥料制造业，不属于高耗水、高污染项目</w:t>
                  </w:r>
                  <w:r>
                    <w:rPr>
                      <w:rFonts w:hint="eastAsia" w:cs="Times New Roman"/>
                      <w:color w:val="auto"/>
                      <w:sz w:val="21"/>
                      <w:szCs w:val="21"/>
                      <w:lang w:val="en-US" w:eastAsia="zh-CN"/>
                    </w:rPr>
                    <w:t>；</w:t>
                  </w:r>
                </w:p>
                <w:p w14:paraId="16392850">
                  <w:pPr>
                    <w:rPr>
                      <w:rFonts w:hint="eastAsia" w:cs="Times New Roman"/>
                      <w:color w:val="auto"/>
                      <w:sz w:val="21"/>
                      <w:szCs w:val="21"/>
                      <w:lang w:val="en-US" w:eastAsia="zh-CN"/>
                    </w:rPr>
                  </w:pPr>
                  <w:r>
                    <w:rPr>
                      <w:rFonts w:hint="eastAsia" w:cs="Times New Roman"/>
                      <w:color w:val="auto"/>
                      <w:sz w:val="21"/>
                      <w:szCs w:val="21"/>
                      <w:lang w:val="en-US" w:eastAsia="zh-CN"/>
                    </w:rPr>
                    <w:t>2.本项目不属于严禁新增行业；</w:t>
                  </w:r>
                </w:p>
                <w:p w14:paraId="3B543E98">
                  <w:pPr>
                    <w:pStyle w:val="18"/>
                    <w:ind w:left="0" w:leftChars="0" w:firstLine="0" w:firstLineChars="0"/>
                    <w:rPr>
                      <w:rFonts w:hint="default"/>
                      <w:color w:val="auto"/>
                      <w:lang w:val="en-US" w:eastAsia="zh-CN"/>
                    </w:rPr>
                  </w:pPr>
                  <w:r>
                    <w:rPr>
                      <w:rFonts w:hint="eastAsia" w:cs="Times New Roman"/>
                      <w:color w:val="auto"/>
                      <w:sz w:val="21"/>
                      <w:szCs w:val="21"/>
                      <w:lang w:val="en-US" w:eastAsia="zh-CN"/>
                    </w:rPr>
                    <w:t>3.通过核查，本项目不属于39个重点行业。</w:t>
                  </w:r>
                </w:p>
                <w:p w14:paraId="3657B95A">
                  <w:pPr>
                    <w:rPr>
                      <w:rFonts w:hint="default"/>
                      <w:color w:val="auto"/>
                      <w:lang w:val="en-US" w:eastAsia="zh-CN"/>
                    </w:rPr>
                  </w:pPr>
                </w:p>
              </w:tc>
              <w:tc>
                <w:tcPr>
                  <w:tcW w:w="425" w:type="pct"/>
                  <w:vMerge w:val="restart"/>
                  <w:tcBorders>
                    <w:tl2br w:val="nil"/>
                    <w:tr2bl w:val="nil"/>
                  </w:tcBorders>
                  <w:noWrap w:val="0"/>
                  <w:vAlign w:val="center"/>
                </w:tcPr>
                <w:p w14:paraId="599E5766">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D2B76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257" w:type="pct"/>
                  <w:vMerge w:val="continue"/>
                  <w:tcBorders>
                    <w:tl2br w:val="nil"/>
                    <w:tr2bl w:val="nil"/>
                  </w:tcBorders>
                  <w:noWrap w:val="0"/>
                  <w:vAlign w:val="center"/>
                </w:tcPr>
                <w:p w14:paraId="081AE7BD">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color w:val="auto"/>
                    </w:rPr>
                  </w:pPr>
                </w:p>
              </w:tc>
              <w:tc>
                <w:tcPr>
                  <w:tcW w:w="207" w:type="pct"/>
                  <w:vMerge w:val="continue"/>
                  <w:tcBorders>
                    <w:tl2br w:val="nil"/>
                    <w:tr2bl w:val="nil"/>
                  </w:tcBorders>
                  <w:noWrap w:val="0"/>
                  <w:vAlign w:val="center"/>
                </w:tcPr>
                <w:p w14:paraId="32314E58">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color w:val="auto"/>
                    </w:rPr>
                  </w:pPr>
                </w:p>
              </w:tc>
              <w:tc>
                <w:tcPr>
                  <w:tcW w:w="198" w:type="pct"/>
                  <w:vMerge w:val="continue"/>
                  <w:tcBorders>
                    <w:tl2br w:val="nil"/>
                    <w:tr2bl w:val="nil"/>
                  </w:tcBorders>
                  <w:noWrap w:val="0"/>
                  <w:vAlign w:val="center"/>
                </w:tcPr>
                <w:p w14:paraId="00E41483">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color w:val="auto"/>
                    </w:rPr>
                  </w:pPr>
                </w:p>
              </w:tc>
              <w:tc>
                <w:tcPr>
                  <w:tcW w:w="336" w:type="pct"/>
                  <w:vMerge w:val="continue"/>
                  <w:tcBorders>
                    <w:tl2br w:val="nil"/>
                    <w:tr2bl w:val="nil"/>
                  </w:tcBorders>
                  <w:noWrap w:val="0"/>
                  <w:vAlign w:val="center"/>
                </w:tcPr>
                <w:p w14:paraId="18778714">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color w:val="auto"/>
                    </w:rPr>
                  </w:pPr>
                </w:p>
              </w:tc>
              <w:tc>
                <w:tcPr>
                  <w:tcW w:w="346" w:type="pct"/>
                  <w:vMerge w:val="continue"/>
                  <w:tcBorders>
                    <w:tl2br w:val="nil"/>
                    <w:tr2bl w:val="nil"/>
                  </w:tcBorders>
                  <w:noWrap w:val="0"/>
                  <w:vAlign w:val="center"/>
                </w:tcPr>
                <w:p w14:paraId="3815EB24">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color w:val="auto"/>
                    </w:rPr>
                  </w:pPr>
                </w:p>
              </w:tc>
              <w:tc>
                <w:tcPr>
                  <w:tcW w:w="332" w:type="pct"/>
                  <w:vMerge w:val="continue"/>
                  <w:tcBorders>
                    <w:tl2br w:val="nil"/>
                    <w:tr2bl w:val="nil"/>
                  </w:tcBorders>
                  <w:noWrap w:val="0"/>
                  <w:vAlign w:val="center"/>
                </w:tcPr>
                <w:p w14:paraId="453EC90A">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color w:val="auto"/>
                    </w:rPr>
                  </w:pPr>
                </w:p>
              </w:tc>
              <w:tc>
                <w:tcPr>
                  <w:tcW w:w="1963" w:type="pct"/>
                  <w:tcBorders>
                    <w:tl2br w:val="nil"/>
                    <w:tr2bl w:val="nil"/>
                  </w:tcBorders>
                  <w:noWrap w:val="0"/>
                  <w:vAlign w:val="center"/>
                </w:tcPr>
                <w:p w14:paraId="7FEABCCE">
                  <w:pPr>
                    <w:pStyle w:val="14"/>
                    <w:keepNext w:val="0"/>
                    <w:keepLines w:val="0"/>
                    <w:pageBreakBefore w:val="0"/>
                    <w:widowControl w:val="0"/>
                    <w:numPr>
                      <w:ilvl w:val="0"/>
                      <w:numId w:val="0"/>
                    </w:numPr>
                    <w:tabs>
                      <w:tab w:val="left" w:pos="2340"/>
                    </w:tabs>
                    <w:kinsoku/>
                    <w:wordWrap/>
                    <w:overflowPunct/>
                    <w:topLinePunct w:val="0"/>
                    <w:autoSpaceDE w:val="0"/>
                    <w:autoSpaceDN w:val="0"/>
                    <w:bidi w:val="0"/>
                    <w:adjustRightInd/>
                    <w:snapToGrid/>
                    <w:spacing w:after="0" w:line="240" w:lineRule="auto"/>
                    <w:ind w:left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水环境城镇生活污染重点管控区：1.持续推进城中村、老旧城区、城乡</w:t>
                  </w:r>
                  <w:r>
                    <w:rPr>
                      <w:rFonts w:hint="eastAsia" w:cs="Times New Roman"/>
                      <w:color w:val="auto"/>
                      <w:sz w:val="21"/>
                      <w:szCs w:val="21"/>
                      <w:lang w:val="en-US" w:eastAsia="zh-CN"/>
                    </w:rPr>
                    <w:t>接合</w:t>
                  </w:r>
                  <w:r>
                    <w:rPr>
                      <w:rFonts w:hint="eastAsia" w:ascii="Times New Roman" w:hAnsi="Times New Roman" w:eastAsia="宋体" w:cs="Times New Roman"/>
                      <w:color w:val="auto"/>
                      <w:sz w:val="21"/>
                      <w:szCs w:val="21"/>
                      <w:lang w:val="en-US" w:eastAsia="zh-CN"/>
                    </w:rPr>
                    <w:t>部污水截流、收集和城市雨污管道新建、改建。到 2025年底，基本实现城市和县城建成区内生活污水全收集。</w:t>
                  </w:r>
                </w:p>
              </w:tc>
              <w:tc>
                <w:tcPr>
                  <w:tcW w:w="933" w:type="pct"/>
                  <w:tcBorders>
                    <w:tl2br w:val="nil"/>
                    <w:tr2bl w:val="nil"/>
                  </w:tcBorders>
                  <w:noWrap w:val="0"/>
                  <w:vAlign w:val="center"/>
                </w:tcPr>
                <w:p w14:paraId="7321BCB0">
                  <w:pPr>
                    <w:pStyle w:val="14"/>
                    <w:keepNext w:val="0"/>
                    <w:keepLines w:val="0"/>
                    <w:pageBreakBefore w:val="0"/>
                    <w:widowControl w:val="0"/>
                    <w:numPr>
                      <w:ilvl w:val="0"/>
                      <w:numId w:val="0"/>
                    </w:numPr>
                    <w:tabs>
                      <w:tab w:val="left" w:pos="2340"/>
                    </w:tabs>
                    <w:kinsoku/>
                    <w:wordWrap/>
                    <w:overflowPunct/>
                    <w:topLinePunct w:val="0"/>
                    <w:autoSpaceDE w:val="0"/>
                    <w:autoSpaceDN w:val="0"/>
                    <w:bidi w:val="0"/>
                    <w:adjustRightInd/>
                    <w:snapToGrid/>
                    <w:spacing w:after="0" w:line="240" w:lineRule="auto"/>
                    <w:ind w:lef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罐体清洗</w:t>
                  </w:r>
                  <w:r>
                    <w:rPr>
                      <w:rFonts w:hint="eastAsia" w:ascii="Times New Roman" w:hAnsi="Times New Roman" w:eastAsia="宋体" w:cs="Times New Roman"/>
                      <w:color w:val="auto"/>
                      <w:sz w:val="21"/>
                      <w:szCs w:val="21"/>
                      <w:lang w:val="en-US" w:eastAsia="zh-CN"/>
                    </w:rPr>
                    <w:t>废水经塑料桶收集后拉运堆肥，渗滤液经收集后拉运堆肥</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生活污水经化粪池处理后拉运堆肥</w:t>
                  </w:r>
                  <w:r>
                    <w:rPr>
                      <w:rFonts w:hint="eastAsia" w:cs="Times New Roman"/>
                      <w:color w:val="auto"/>
                      <w:sz w:val="21"/>
                      <w:szCs w:val="21"/>
                      <w:lang w:val="en-US" w:eastAsia="zh-CN"/>
                    </w:rPr>
                    <w:t>。</w:t>
                  </w:r>
                </w:p>
              </w:tc>
              <w:tc>
                <w:tcPr>
                  <w:tcW w:w="425" w:type="pct"/>
                  <w:vMerge w:val="continue"/>
                  <w:tcBorders>
                    <w:tl2br w:val="nil"/>
                    <w:tr2bl w:val="nil"/>
                  </w:tcBorders>
                  <w:noWrap w:val="0"/>
                  <w:vAlign w:val="center"/>
                </w:tcPr>
                <w:p w14:paraId="320EBF4B">
                  <w:pPr>
                    <w:pStyle w:val="14"/>
                    <w:keepNext w:val="0"/>
                    <w:keepLines w:val="0"/>
                    <w:pageBreakBefore w:val="0"/>
                    <w:widowControl w:val="0"/>
                    <w:tabs>
                      <w:tab w:val="left" w:pos="2340"/>
                    </w:tabs>
                    <w:kinsoku/>
                    <w:wordWrap/>
                    <w:overflowPunct/>
                    <w:topLinePunct w:val="0"/>
                    <w:autoSpaceDE w:val="0"/>
                    <w:autoSpaceDN w:val="0"/>
                    <w:bidi w:val="0"/>
                    <w:adjustRightInd/>
                    <w:snapToGrid/>
                    <w:spacing w:after="0" w:line="240" w:lineRule="auto"/>
                    <w:ind w:leftChars="0"/>
                    <w:jc w:val="center"/>
                    <w:textAlignment w:val="auto"/>
                    <w:rPr>
                      <w:rFonts w:hint="eastAsia" w:ascii="Times New Roman" w:hAnsi="Times New Roman" w:eastAsia="宋体" w:cs="Times New Roman"/>
                      <w:color w:val="auto"/>
                      <w:sz w:val="21"/>
                      <w:szCs w:val="21"/>
                      <w:lang w:val="en-US" w:eastAsia="zh-CN"/>
                    </w:rPr>
                  </w:pPr>
                </w:p>
              </w:tc>
            </w:tr>
            <w:tr w14:paraId="24550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257" w:type="pct"/>
                  <w:vMerge w:val="continue"/>
                  <w:tcBorders>
                    <w:tl2br w:val="nil"/>
                    <w:tr2bl w:val="nil"/>
                  </w:tcBorders>
                  <w:noWrap w:val="0"/>
                  <w:vAlign w:val="center"/>
                </w:tcPr>
                <w:p w14:paraId="5DAE5E5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207" w:type="pct"/>
                  <w:vMerge w:val="continue"/>
                  <w:tcBorders>
                    <w:tl2br w:val="nil"/>
                    <w:tr2bl w:val="nil"/>
                  </w:tcBorders>
                  <w:noWrap w:val="0"/>
                  <w:vAlign w:val="center"/>
                </w:tcPr>
                <w:p w14:paraId="0865259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98" w:type="pct"/>
                  <w:vMerge w:val="continue"/>
                  <w:tcBorders>
                    <w:tl2br w:val="nil"/>
                    <w:tr2bl w:val="nil"/>
                  </w:tcBorders>
                  <w:noWrap w:val="0"/>
                  <w:vAlign w:val="center"/>
                </w:tcPr>
                <w:p w14:paraId="252407B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p>
              </w:tc>
              <w:tc>
                <w:tcPr>
                  <w:tcW w:w="336" w:type="pct"/>
                  <w:vMerge w:val="continue"/>
                  <w:tcBorders>
                    <w:tl2br w:val="nil"/>
                    <w:tr2bl w:val="nil"/>
                  </w:tcBorders>
                  <w:noWrap w:val="0"/>
                  <w:vAlign w:val="center"/>
                </w:tcPr>
                <w:p w14:paraId="4346C5D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346" w:type="pct"/>
                  <w:vMerge w:val="continue"/>
                  <w:tcBorders>
                    <w:tl2br w:val="nil"/>
                    <w:tr2bl w:val="nil"/>
                  </w:tcBorders>
                  <w:noWrap w:val="0"/>
                  <w:vAlign w:val="center"/>
                </w:tcPr>
                <w:p w14:paraId="065BE40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332" w:type="pct"/>
                  <w:vMerge w:val="restart"/>
                  <w:tcBorders>
                    <w:tl2br w:val="nil"/>
                    <w:tr2bl w:val="nil"/>
                  </w:tcBorders>
                  <w:noWrap w:val="0"/>
                  <w:vAlign w:val="center"/>
                </w:tcPr>
                <w:p w14:paraId="0F78A4E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1963" w:type="pct"/>
                  <w:tcBorders>
                    <w:tl2br w:val="nil"/>
                    <w:tr2bl w:val="nil"/>
                  </w:tcBorders>
                  <w:noWrap w:val="0"/>
                  <w:vAlign w:val="center"/>
                </w:tcPr>
                <w:p w14:paraId="066F787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大气环境布局敏感重点管控区</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1.鼓励将老旧车辆和非道路移动机械替换为清洁能源车辆。推进新能源或清洁能源汽车使用。</w:t>
                  </w:r>
                </w:p>
                <w:p w14:paraId="1C29ACD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2.巩固城市建成区、县（区）平原区域散煤动态清理成效。</w:t>
                  </w:r>
                </w:p>
              </w:tc>
              <w:tc>
                <w:tcPr>
                  <w:tcW w:w="933" w:type="pct"/>
                  <w:tcBorders>
                    <w:tl2br w:val="nil"/>
                    <w:tr2bl w:val="nil"/>
                  </w:tcBorders>
                  <w:noWrap w:val="0"/>
                  <w:vAlign w:val="center"/>
                </w:tcPr>
                <w:p w14:paraId="3161CFC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1.本项目原辅材料及产品运输均委托运输公司运输，其车辆均为国五以上车辆。</w:t>
                  </w:r>
                </w:p>
                <w:p w14:paraId="043490B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 xml:space="preserve">2.本项目采用电能不涉及燃煤使用。 </w:t>
                  </w:r>
                </w:p>
              </w:tc>
              <w:tc>
                <w:tcPr>
                  <w:tcW w:w="425" w:type="pct"/>
                  <w:vMerge w:val="restart"/>
                  <w:tcBorders>
                    <w:tl2br w:val="nil"/>
                    <w:tr2bl w:val="nil"/>
                  </w:tcBorders>
                  <w:noWrap w:val="0"/>
                  <w:vAlign w:val="center"/>
                </w:tcPr>
                <w:p w14:paraId="7B2BA946">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6FF73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7" w:type="pct"/>
                  <w:vMerge w:val="continue"/>
                  <w:tcBorders>
                    <w:tl2br w:val="nil"/>
                    <w:tr2bl w:val="nil"/>
                  </w:tcBorders>
                  <w:noWrap w:val="0"/>
                  <w:vAlign w:val="center"/>
                </w:tcPr>
                <w:p w14:paraId="58E83766">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207" w:type="pct"/>
                  <w:vMerge w:val="continue"/>
                  <w:tcBorders>
                    <w:tl2br w:val="nil"/>
                    <w:tr2bl w:val="nil"/>
                  </w:tcBorders>
                  <w:noWrap w:val="0"/>
                  <w:vAlign w:val="center"/>
                </w:tcPr>
                <w:p w14:paraId="356D674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198" w:type="pct"/>
                  <w:vMerge w:val="continue"/>
                  <w:tcBorders>
                    <w:tl2br w:val="nil"/>
                    <w:tr2bl w:val="nil"/>
                  </w:tcBorders>
                  <w:noWrap w:val="0"/>
                  <w:vAlign w:val="center"/>
                </w:tcPr>
                <w:p w14:paraId="20A5B375">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36" w:type="pct"/>
                  <w:vMerge w:val="continue"/>
                  <w:tcBorders>
                    <w:tl2br w:val="nil"/>
                    <w:tr2bl w:val="nil"/>
                  </w:tcBorders>
                  <w:noWrap w:val="0"/>
                  <w:vAlign w:val="center"/>
                </w:tcPr>
                <w:p w14:paraId="24343297">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46" w:type="pct"/>
                  <w:vMerge w:val="continue"/>
                  <w:tcBorders>
                    <w:tl2br w:val="nil"/>
                    <w:tr2bl w:val="nil"/>
                  </w:tcBorders>
                  <w:noWrap w:val="0"/>
                  <w:vAlign w:val="center"/>
                </w:tcPr>
                <w:p w14:paraId="48F09D97">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32" w:type="pct"/>
                  <w:vMerge w:val="continue"/>
                  <w:tcBorders>
                    <w:tl2br w:val="nil"/>
                    <w:tr2bl w:val="nil"/>
                  </w:tcBorders>
                  <w:noWrap w:val="0"/>
                  <w:vAlign w:val="center"/>
                </w:tcPr>
                <w:p w14:paraId="10E8EA7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1963" w:type="pct"/>
                  <w:tcBorders>
                    <w:tl2br w:val="nil"/>
                    <w:tr2bl w:val="nil"/>
                  </w:tcBorders>
                  <w:noWrap w:val="0"/>
                  <w:vAlign w:val="center"/>
                </w:tcPr>
                <w:p w14:paraId="58A15125">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水环境城镇生活污染重点管控区：</w:t>
                  </w:r>
                </w:p>
                <w:p w14:paraId="7A008512">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1.加强城镇污水收集处理设施建设与提标改造。全省黄河流域城镇 生 活污 水 处 理达 到 《 陕 西省 黄 河 流 域污 水 综 合排 放 标 准 》（DB61/224-2018</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加强城镇生活污水处理，提高对生活污水的处理能力。</w:t>
                  </w:r>
                </w:p>
                <w:p w14:paraId="7042886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sz w:val="21"/>
                      <w:szCs w:val="21"/>
                      <w:lang w:val="en-US" w:eastAsia="zh-CN"/>
                    </w:rPr>
                    <w:t>城镇新区管网建设及老旧城区管网升级改造中实行雨污分流，鼓励推进初期雨水收集、处理和资源化利用，建设人工湿地水质净化工程，对处理达标后的尾水进一步净化。</w:t>
                  </w:r>
                </w:p>
                <w:p w14:paraId="529FD4EE">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sz w:val="21"/>
                      <w:szCs w:val="21"/>
                      <w:lang w:val="en-US" w:eastAsia="zh-CN"/>
                    </w:rPr>
                    <w:t>污水处理厂出水用于绿化、农灌等用途的，合理确定管控要求，确保达到相应污水再生利用标准。</w:t>
                  </w:r>
                </w:p>
              </w:tc>
              <w:tc>
                <w:tcPr>
                  <w:tcW w:w="933" w:type="pct"/>
                  <w:tcBorders>
                    <w:tl2br w:val="nil"/>
                    <w:tr2bl w:val="nil"/>
                  </w:tcBorders>
                  <w:noWrap w:val="0"/>
                  <w:vAlign w:val="center"/>
                </w:tcPr>
                <w:p w14:paraId="0044A569">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罐体清洗</w:t>
                  </w:r>
                  <w:r>
                    <w:rPr>
                      <w:rFonts w:hint="eastAsia" w:ascii="Times New Roman" w:hAnsi="Times New Roman" w:eastAsia="宋体" w:cs="Times New Roman"/>
                      <w:color w:val="auto"/>
                      <w:sz w:val="21"/>
                      <w:szCs w:val="21"/>
                      <w:lang w:val="en-US" w:eastAsia="zh-CN"/>
                    </w:rPr>
                    <w:t>废水经塑料桶收集后拉运堆肥，渗滤液经收集后拉运堆肥</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生活污水经化粪池处理后拉运堆肥</w:t>
                  </w:r>
                  <w:r>
                    <w:rPr>
                      <w:rFonts w:hint="eastAsia" w:cs="Times New Roman"/>
                      <w:color w:val="auto"/>
                      <w:sz w:val="21"/>
                      <w:szCs w:val="21"/>
                      <w:lang w:val="en-US" w:eastAsia="zh-CN"/>
                    </w:rPr>
                    <w:t>。</w:t>
                  </w:r>
                </w:p>
                <w:p w14:paraId="6F26E930">
                  <w:pPr>
                    <w:pStyle w:val="18"/>
                    <w:ind w:left="0" w:leftChars="0"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2.建设项目所在区域市政污水管网未建成。</w:t>
                  </w:r>
                </w:p>
                <w:p w14:paraId="50C23874">
                  <w:pPr>
                    <w:rPr>
                      <w:rFonts w:hint="default"/>
                      <w:lang w:val="en-US" w:eastAsia="zh-CN"/>
                    </w:rPr>
                  </w:pPr>
                  <w:r>
                    <w:rPr>
                      <w:rFonts w:hint="eastAsia" w:cs="Times New Roman"/>
                      <w:color w:val="auto"/>
                      <w:sz w:val="21"/>
                      <w:szCs w:val="21"/>
                      <w:lang w:val="en-US" w:eastAsia="zh-CN"/>
                    </w:rPr>
                    <w:t>3.本项目不涉及污水处理设施，及外排水。</w:t>
                  </w:r>
                </w:p>
              </w:tc>
              <w:tc>
                <w:tcPr>
                  <w:tcW w:w="425" w:type="pct"/>
                  <w:vMerge w:val="continue"/>
                  <w:tcBorders>
                    <w:tl2br w:val="nil"/>
                    <w:tr2bl w:val="nil"/>
                  </w:tcBorders>
                  <w:noWrap w:val="0"/>
                  <w:vAlign w:val="center"/>
                </w:tcPr>
                <w:p w14:paraId="7FCF03A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30B6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7" w:type="pct"/>
                  <w:vMerge w:val="continue"/>
                  <w:tcBorders>
                    <w:tl2br w:val="nil"/>
                    <w:tr2bl w:val="nil"/>
                  </w:tcBorders>
                  <w:noWrap w:val="0"/>
                  <w:vAlign w:val="center"/>
                </w:tcPr>
                <w:p w14:paraId="67A0A79D">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207" w:type="pct"/>
                  <w:vMerge w:val="continue"/>
                  <w:tcBorders>
                    <w:tl2br w:val="nil"/>
                    <w:tr2bl w:val="nil"/>
                  </w:tcBorders>
                  <w:noWrap w:val="0"/>
                  <w:vAlign w:val="center"/>
                </w:tcPr>
                <w:p w14:paraId="32C2F390">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198" w:type="pct"/>
                  <w:vMerge w:val="continue"/>
                  <w:tcBorders>
                    <w:tl2br w:val="nil"/>
                    <w:tr2bl w:val="nil"/>
                  </w:tcBorders>
                  <w:noWrap w:val="0"/>
                  <w:vAlign w:val="center"/>
                </w:tcPr>
                <w:p w14:paraId="6F6F9B56">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36" w:type="pct"/>
                  <w:vMerge w:val="continue"/>
                  <w:tcBorders>
                    <w:tl2br w:val="nil"/>
                    <w:tr2bl w:val="nil"/>
                  </w:tcBorders>
                  <w:noWrap w:val="0"/>
                  <w:vAlign w:val="center"/>
                </w:tcPr>
                <w:p w14:paraId="75EFD63A">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46" w:type="pct"/>
                  <w:vMerge w:val="continue"/>
                  <w:tcBorders>
                    <w:tl2br w:val="nil"/>
                    <w:tr2bl w:val="nil"/>
                  </w:tcBorders>
                  <w:noWrap w:val="0"/>
                  <w:vAlign w:val="center"/>
                </w:tcPr>
                <w:p w14:paraId="015EFACC">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32" w:type="pct"/>
                  <w:tcBorders>
                    <w:tl2br w:val="nil"/>
                    <w:tr2bl w:val="nil"/>
                  </w:tcBorders>
                  <w:noWrap w:val="0"/>
                  <w:vAlign w:val="center"/>
                </w:tcPr>
                <w:p w14:paraId="549D3884">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eastAsia="宋体"/>
                      <w:color w:val="auto"/>
                      <w:lang w:val="en-US" w:eastAsia="zh-CN"/>
                    </w:rPr>
                  </w:pPr>
                  <w:r>
                    <w:rPr>
                      <w:rFonts w:hint="eastAsia"/>
                      <w:color w:val="auto"/>
                      <w:lang w:val="en-US" w:eastAsia="zh-CN"/>
                    </w:rPr>
                    <w:t>环境风险防控</w:t>
                  </w:r>
                </w:p>
              </w:tc>
              <w:tc>
                <w:tcPr>
                  <w:tcW w:w="1963" w:type="pct"/>
                  <w:tcBorders>
                    <w:tl2br w:val="nil"/>
                    <w:tr2bl w:val="nil"/>
                  </w:tcBorders>
                  <w:noWrap w:val="0"/>
                  <w:vAlign w:val="center"/>
                </w:tcPr>
                <w:p w14:paraId="3A87973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33" w:type="pct"/>
                  <w:tcBorders>
                    <w:tl2br w:val="nil"/>
                    <w:tr2bl w:val="nil"/>
                  </w:tcBorders>
                  <w:noWrap w:val="0"/>
                  <w:vAlign w:val="center"/>
                </w:tcPr>
                <w:p w14:paraId="26F9BA62">
                  <w:pPr>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425" w:type="pct"/>
                  <w:tcBorders>
                    <w:tl2br w:val="nil"/>
                    <w:tr2bl w:val="nil"/>
                  </w:tcBorders>
                  <w:noWrap w:val="0"/>
                  <w:vAlign w:val="center"/>
                </w:tcPr>
                <w:p w14:paraId="68A246C4">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5A21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7" w:type="pct"/>
                  <w:vMerge w:val="continue"/>
                  <w:tcBorders>
                    <w:tl2br w:val="nil"/>
                    <w:tr2bl w:val="nil"/>
                  </w:tcBorders>
                  <w:noWrap w:val="0"/>
                  <w:vAlign w:val="center"/>
                </w:tcPr>
                <w:p w14:paraId="1A1576EC">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207" w:type="pct"/>
                  <w:vMerge w:val="continue"/>
                  <w:tcBorders>
                    <w:tl2br w:val="nil"/>
                    <w:tr2bl w:val="nil"/>
                  </w:tcBorders>
                  <w:noWrap w:val="0"/>
                  <w:vAlign w:val="center"/>
                </w:tcPr>
                <w:p w14:paraId="06809B45">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198" w:type="pct"/>
                  <w:vMerge w:val="continue"/>
                  <w:tcBorders>
                    <w:tl2br w:val="nil"/>
                    <w:tr2bl w:val="nil"/>
                  </w:tcBorders>
                  <w:noWrap w:val="0"/>
                  <w:vAlign w:val="center"/>
                </w:tcPr>
                <w:p w14:paraId="37C51195">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36" w:type="pct"/>
                  <w:vMerge w:val="continue"/>
                  <w:tcBorders>
                    <w:tl2br w:val="nil"/>
                    <w:tr2bl w:val="nil"/>
                  </w:tcBorders>
                  <w:noWrap w:val="0"/>
                  <w:vAlign w:val="center"/>
                </w:tcPr>
                <w:p w14:paraId="1620703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46" w:type="pct"/>
                  <w:vMerge w:val="continue"/>
                  <w:tcBorders>
                    <w:tl2br w:val="nil"/>
                    <w:tr2bl w:val="nil"/>
                  </w:tcBorders>
                  <w:noWrap w:val="0"/>
                  <w:vAlign w:val="center"/>
                </w:tcPr>
                <w:p w14:paraId="1BAC0B41">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color w:val="auto"/>
                    </w:rPr>
                  </w:pPr>
                </w:p>
              </w:tc>
              <w:tc>
                <w:tcPr>
                  <w:tcW w:w="332" w:type="pct"/>
                  <w:tcBorders>
                    <w:tl2br w:val="nil"/>
                    <w:tr2bl w:val="nil"/>
                  </w:tcBorders>
                  <w:noWrap w:val="0"/>
                  <w:vAlign w:val="center"/>
                </w:tcPr>
                <w:p w14:paraId="1ECB9A9F">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default" w:eastAsia="宋体"/>
                      <w:color w:val="auto"/>
                      <w:lang w:val="en-US" w:eastAsia="zh-CN"/>
                    </w:rPr>
                  </w:pPr>
                  <w:r>
                    <w:rPr>
                      <w:rFonts w:hint="eastAsia"/>
                      <w:color w:val="auto"/>
                      <w:lang w:val="en-US" w:eastAsia="zh-CN"/>
                    </w:rPr>
                    <w:t>资源开发效率要求</w:t>
                  </w:r>
                </w:p>
              </w:tc>
              <w:tc>
                <w:tcPr>
                  <w:tcW w:w="1963" w:type="pct"/>
                  <w:tcBorders>
                    <w:tl2br w:val="nil"/>
                    <w:tr2bl w:val="nil"/>
                  </w:tcBorders>
                  <w:noWrap w:val="0"/>
                  <w:vAlign w:val="center"/>
                </w:tcPr>
                <w:p w14:paraId="538ADF4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生态用水补给区管控分区：1.加强生态流量日常监管，提高枯水期和关键期生态流量，探索生态流量联合监管机制，维持河道生态系统稳定。</w:t>
                  </w:r>
                </w:p>
                <w:p w14:paraId="6FCAA91C">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2.水资源配置应首先考虑生态用水，保护修复水生态环境。已成工程通过水源置换、退减被挤占的河道内生态环境用水，规划工程应在保障河道生态环境用水的前提下，进行合理开发。</w:t>
                  </w:r>
                </w:p>
                <w:p w14:paraId="77E4DAB5">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在保护生态环境和水资源可持续利用的前提下，确保河道内生态用水的要求并兼顾河道内生产用水需求，合理确定河道外用水消耗量不超过河流水系的水资源可利用量。严格执行用水总量指标，在用水总量控制的前提下，逐步退还被挤占的河道内生态环境用水。</w:t>
                  </w:r>
                </w:p>
                <w:p w14:paraId="5A46E614">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4.将河湖生态流量保障目标落实纳入水资源调度方案和年度调度计划，以重要水利水电工程和水资源配置工程为重点，实施水资源统一调度，落实水利水电工程生态流量下泄措施。</w:t>
                  </w:r>
                </w:p>
              </w:tc>
              <w:tc>
                <w:tcPr>
                  <w:tcW w:w="933" w:type="pct"/>
                  <w:tcBorders>
                    <w:tl2br w:val="nil"/>
                    <w:tr2bl w:val="nil"/>
                  </w:tcBorders>
                  <w:noWrap w:val="0"/>
                  <w:vAlign w:val="center"/>
                </w:tcPr>
                <w:p w14:paraId="32ABEADA">
                  <w:pPr>
                    <w:rPr>
                      <w:rFonts w:hint="default" w:cs="Times New Roman"/>
                      <w:color w:val="auto"/>
                      <w:sz w:val="21"/>
                      <w:szCs w:val="21"/>
                      <w:lang w:val="en-US" w:eastAsia="zh-CN"/>
                    </w:rPr>
                  </w:pPr>
                  <w:r>
                    <w:rPr>
                      <w:rFonts w:hint="eastAsia" w:cs="Times New Roman"/>
                      <w:color w:val="auto"/>
                      <w:sz w:val="21"/>
                      <w:szCs w:val="21"/>
                      <w:lang w:val="en-US" w:eastAsia="zh-CN"/>
                    </w:rPr>
                    <w:t>本项目用水由当地自来水管网提供。项目建设点位于渭河北侧约265m，不在渭河河道保护红线范围内，同时本项目属于肥料制造，不涉及水资源使用及利用。</w:t>
                  </w:r>
                </w:p>
              </w:tc>
              <w:tc>
                <w:tcPr>
                  <w:tcW w:w="425" w:type="pct"/>
                  <w:tcBorders>
                    <w:tl2br w:val="nil"/>
                    <w:tr2bl w:val="nil"/>
                  </w:tcBorders>
                  <w:noWrap w:val="0"/>
                  <w:vAlign w:val="center"/>
                </w:tcPr>
                <w:p w14:paraId="05587323">
                  <w:pPr>
                    <w:keepNext w:val="0"/>
                    <w:keepLines w:val="0"/>
                    <w:pageBreakBefore w:val="0"/>
                    <w:widowControl w:val="0"/>
                    <w:kinsoku/>
                    <w:wordWrap w:val="0"/>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color w:val="auto"/>
                      <w:sz w:val="21"/>
                      <w:szCs w:val="21"/>
                      <w:lang w:val="en-US" w:eastAsia="zh-CN"/>
                    </w:rPr>
                  </w:pPr>
                </w:p>
              </w:tc>
            </w:tr>
          </w:tbl>
          <w:p w14:paraId="228AD187">
            <w:pPr>
              <w:spacing w:line="360" w:lineRule="auto"/>
              <w:ind w:firstLine="480" w:firstLineChars="200"/>
              <w:rPr>
                <w:color w:val="auto"/>
                <w:sz w:val="24"/>
                <w:szCs w:val="24"/>
              </w:rPr>
            </w:pPr>
            <w:r>
              <w:rPr>
                <w:rFonts w:hint="eastAsia"/>
                <w:color w:val="auto"/>
                <w:sz w:val="24"/>
                <w:szCs w:val="24"/>
                <w:lang w:val="en-US" w:eastAsia="zh-CN"/>
              </w:rPr>
              <w:t>（3）</w:t>
            </w:r>
            <w:r>
              <w:rPr>
                <w:rFonts w:hint="eastAsia"/>
                <w:color w:val="auto"/>
                <w:sz w:val="24"/>
                <w:szCs w:val="24"/>
              </w:rPr>
              <w:t>“一说明”，项目与“三线一单”符合性说明</w:t>
            </w:r>
          </w:p>
          <w:p w14:paraId="22D02C5B">
            <w:pPr>
              <w:spacing w:line="360" w:lineRule="auto"/>
              <w:ind w:firstLine="480" w:firstLineChars="200"/>
              <w:rPr>
                <w:color w:val="auto"/>
                <w:sz w:val="24"/>
                <w:szCs w:val="24"/>
              </w:rPr>
            </w:pPr>
            <w:r>
              <w:rPr>
                <w:rFonts w:hint="eastAsia"/>
                <w:color w:val="auto"/>
                <w:sz w:val="24"/>
                <w:szCs w:val="24"/>
              </w:rPr>
              <w:t>根据上文“一图”“一表”的分析，项目位于环境管控重点管控单元内，项目所在地不涉及生态红线，重点管控单元以提升资源利用效率、加强污染物减排治理和环境风险防控为重点，解决突出生态环境问题。本项目产生的污染物较少，且采取了相应环保措施，符合方案要求。综上，建设项目符合陕西省“三线一单”管控要求。</w:t>
            </w:r>
          </w:p>
          <w:p w14:paraId="3449B5A3">
            <w:pPr>
              <w:keepNext/>
              <w:keepLines/>
              <w:widowControl/>
              <w:adjustRightInd w:val="0"/>
              <w:snapToGrid w:val="0"/>
              <w:spacing w:line="360" w:lineRule="auto"/>
              <w:ind w:firstLine="482" w:firstLineChars="200"/>
              <w:jc w:val="left"/>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bCs w:val="0"/>
                <w:color w:val="auto"/>
                <w:sz w:val="24"/>
                <w:szCs w:val="24"/>
                <w:lang w:val="en-US" w:eastAsia="zh-CN"/>
              </w:rPr>
              <w:t>2、项目与生态保护法律法规政策</w:t>
            </w:r>
            <w:r>
              <w:rPr>
                <w:rFonts w:hint="eastAsia" w:ascii="Times New Roman" w:hAnsi="Times New Roman" w:eastAsia="宋体" w:cs="Times New Roman"/>
                <w:b/>
                <w:bCs w:val="0"/>
                <w:color w:val="auto"/>
                <w:sz w:val="24"/>
                <w:szCs w:val="24"/>
                <w:lang w:val="en-US" w:eastAsia="zh-CN"/>
              </w:rPr>
              <w:t>、生态环境保护规划的</w:t>
            </w:r>
            <w:r>
              <w:rPr>
                <w:rFonts w:hint="default" w:ascii="Times New Roman" w:hAnsi="Times New Roman" w:eastAsia="宋体" w:cs="Times New Roman"/>
                <w:b/>
                <w:bCs w:val="0"/>
                <w:color w:val="auto"/>
                <w:sz w:val="24"/>
                <w:szCs w:val="24"/>
                <w:lang w:val="en-US" w:eastAsia="zh-CN"/>
              </w:rPr>
              <w:t>相符性分析</w:t>
            </w:r>
          </w:p>
          <w:p w14:paraId="31B9DB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表1</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21"/>
                <w14:textFill>
                  <w14:solidFill>
                    <w14:schemeClr w14:val="tx1"/>
                  </w14:solidFill>
                </w14:textFill>
              </w:rPr>
              <w:t xml:space="preserve">  与生态保护法律法规政策、生态环境保护规划的相符性分析</w:t>
            </w:r>
            <w:r>
              <w:rPr>
                <w:rFonts w:hint="eastAsia" w:cs="Times New Roman"/>
                <w:b/>
                <w:color w:val="000000" w:themeColor="text1"/>
                <w:sz w:val="21"/>
                <w:szCs w:val="21"/>
                <w:lang w:val="en-US" w:eastAsia="zh-CN"/>
                <w14:textFill>
                  <w14:solidFill>
                    <w14:schemeClr w14:val="tx1"/>
                  </w14:solidFill>
                </w14:textFill>
              </w:rPr>
              <w:t>一览</w:t>
            </w:r>
            <w:r>
              <w:rPr>
                <w:rFonts w:hint="default" w:ascii="Times New Roman" w:hAnsi="Times New Roman" w:eastAsia="宋体" w:cs="Times New Roman"/>
                <w:b/>
                <w:color w:val="000000" w:themeColor="text1"/>
                <w:sz w:val="21"/>
                <w:szCs w:val="21"/>
                <w14:textFill>
                  <w14:solidFill>
                    <w14:schemeClr w14:val="tx1"/>
                  </w14:solidFill>
                </w14:textFill>
              </w:rPr>
              <w:t>表</w:t>
            </w:r>
          </w:p>
          <w:tbl>
            <w:tblPr>
              <w:tblStyle w:val="22"/>
              <w:tblW w:w="82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3367"/>
              <w:gridCol w:w="2340"/>
              <w:gridCol w:w="1080"/>
            </w:tblGrid>
            <w:tr w14:paraId="4FD59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noWrap w:val="0"/>
                  <w:vAlign w:val="center"/>
                </w:tcPr>
                <w:p w14:paraId="7E2B8124">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3367" w:type="dxa"/>
                  <w:noWrap w:val="0"/>
                  <w:vAlign w:val="center"/>
                </w:tcPr>
                <w:p w14:paraId="0308E40E">
                  <w:pPr>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规划内容</w:t>
                  </w:r>
                </w:p>
              </w:tc>
              <w:tc>
                <w:tcPr>
                  <w:tcW w:w="2340" w:type="dxa"/>
                  <w:noWrap w:val="0"/>
                  <w:vAlign w:val="center"/>
                </w:tcPr>
                <w:p w14:paraId="19D4269D">
                  <w:pPr>
                    <w:spacing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本项目情况</w:t>
                  </w:r>
                </w:p>
              </w:tc>
              <w:tc>
                <w:tcPr>
                  <w:tcW w:w="1080" w:type="dxa"/>
                  <w:noWrap w:val="0"/>
                  <w:vAlign w:val="center"/>
                </w:tcPr>
                <w:p w14:paraId="1F55AE0B">
                  <w:pPr>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符合性</w:t>
                  </w:r>
                </w:p>
              </w:tc>
            </w:tr>
            <w:tr w14:paraId="00AA7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491" w:type="dxa"/>
                  <w:noWrap w:val="0"/>
                  <w:vAlign w:val="center"/>
                </w:tcPr>
                <w:p w14:paraId="2CDC4918">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《宝鸡市大气污染防治条例》</w:t>
                  </w:r>
                </w:p>
              </w:tc>
              <w:tc>
                <w:tcPr>
                  <w:tcW w:w="3367" w:type="dxa"/>
                  <w:noWrap w:val="0"/>
                  <w:vAlign w:val="center"/>
                </w:tcPr>
                <w:p w14:paraId="6E8EC0E4">
                  <w:pPr>
                    <w:spacing w:line="240" w:lineRule="auto"/>
                    <w:jc w:val="both"/>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第四十条：钢铁、建材、有色金属、石油、化工、制药、矿产开采等企业，应当加强精细化管理，采取集中收集处理等措施，严格控制粉尘和气态污染物的排放。</w:t>
                  </w:r>
                </w:p>
                <w:p w14:paraId="02ECF9AD">
                  <w:pPr>
                    <w:spacing w:line="240" w:lineRule="auto"/>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工业生产企业应当采取密闭、围挡、遮盖、清扫、洒水等措施，减少内部物料的堆存、传输、装卸等环节产生的粉尘和气态污染物的排放</w:t>
                  </w:r>
                  <w:r>
                    <w:rPr>
                      <w:rFonts w:hint="eastAsia" w:cs="Times New Roman"/>
                      <w:color w:val="000000" w:themeColor="text1"/>
                      <w:sz w:val="21"/>
                      <w:szCs w:val="21"/>
                      <w:shd w:val="clear" w:color="auto" w:fill="FFFFFF"/>
                      <w:lang w:eastAsia="zh-CN"/>
                      <w14:textFill>
                        <w14:solidFill>
                          <w14:schemeClr w14:val="tx1"/>
                        </w14:solidFill>
                      </w14:textFill>
                    </w:rPr>
                    <w:t>。</w:t>
                  </w:r>
                </w:p>
              </w:tc>
              <w:tc>
                <w:tcPr>
                  <w:tcW w:w="2340" w:type="dxa"/>
                  <w:noWrap w:val="0"/>
                  <w:vAlign w:val="center"/>
                </w:tcPr>
                <w:p w14:paraId="6709F033">
                  <w:p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本项目生产工艺中除加料配料时会产生颗粒物之外，其他搅拌生产，分装过程均在密闭状态下进行</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且</w:t>
                  </w:r>
                  <w:r>
                    <w:rPr>
                      <w:rFonts w:hint="default" w:ascii="Times New Roman" w:hAnsi="Times New Roman" w:cs="Times New Roman"/>
                      <w:color w:val="000000" w:themeColor="text1"/>
                      <w:sz w:val="21"/>
                      <w:szCs w:val="21"/>
                      <w:lang w:val="en-US" w:eastAsia="zh-CN"/>
                      <w14:textFill>
                        <w14:solidFill>
                          <w14:schemeClr w14:val="tx1"/>
                        </w14:solidFill>
                      </w14:textFill>
                    </w:rPr>
                    <w:t>配料</w:t>
                  </w:r>
                  <w:r>
                    <w:rPr>
                      <w:rFonts w:hint="default" w:ascii="Times New Roman" w:hAnsi="Times New Roman" w:eastAsia="宋体" w:cs="Times New Roman"/>
                      <w:color w:val="000000" w:themeColor="text1"/>
                      <w:sz w:val="21"/>
                      <w:szCs w:val="21"/>
                      <w14:textFill>
                        <w14:solidFill>
                          <w14:schemeClr w14:val="tx1"/>
                        </w14:solidFill>
                      </w14:textFill>
                    </w:rPr>
                    <w:t>产生的废气由集气罩收集后经</w:t>
                  </w:r>
                  <w:r>
                    <w:rPr>
                      <w:rFonts w:hint="default" w:ascii="Times New Roman" w:hAnsi="Times New Roman" w:cs="Times New Roman"/>
                      <w:color w:val="000000" w:themeColor="text1"/>
                      <w:sz w:val="21"/>
                      <w:szCs w:val="21"/>
                      <w:lang w:val="en-US" w:eastAsia="zh-CN"/>
                      <w14:textFill>
                        <w14:solidFill>
                          <w14:schemeClr w14:val="tx1"/>
                        </w14:solidFill>
                      </w14:textFill>
                    </w:rPr>
                    <w:t>布袋除尘器</w:t>
                  </w:r>
                  <w:r>
                    <w:rPr>
                      <w:rFonts w:hint="default" w:ascii="Times New Roman" w:hAnsi="Times New Roman" w:eastAsia="宋体" w:cs="Times New Roman"/>
                      <w:color w:val="000000" w:themeColor="text1"/>
                      <w:sz w:val="21"/>
                      <w:szCs w:val="21"/>
                      <w14:textFill>
                        <w14:solidFill>
                          <w14:schemeClr w14:val="tx1"/>
                        </w14:solidFill>
                      </w14:textFill>
                    </w:rPr>
                    <w:t>处理后沿15m高排气筒排放。</w:t>
                  </w:r>
                </w:p>
              </w:tc>
              <w:tc>
                <w:tcPr>
                  <w:tcW w:w="1080" w:type="dxa"/>
                  <w:noWrap w:val="0"/>
                  <w:vAlign w:val="center"/>
                </w:tcPr>
                <w:p w14:paraId="7425D02A">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298E3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7" w:hRule="atLeast"/>
                <w:jc w:val="center"/>
              </w:trPr>
              <w:tc>
                <w:tcPr>
                  <w:tcW w:w="1491" w:type="dxa"/>
                  <w:vMerge w:val="restart"/>
                  <w:noWrap w:val="0"/>
                  <w:vAlign w:val="center"/>
                </w:tcPr>
                <w:p w14:paraId="61F69B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zh-CN" w:eastAsia="zh-CN" w:bidi="ar-SA"/>
                      <w14:textFill>
                        <w14:solidFill>
                          <w14:schemeClr w14:val="tx1"/>
                        </w14:solidFill>
                      </w14:textFill>
                    </w:rPr>
                    <w:t>宝鸡市</w:t>
                  </w:r>
                  <w:r>
                    <w:rPr>
                      <w:rFonts w:hint="eastAsia" w:ascii="Times New Roman" w:hAnsi="Times New Roman" w:eastAsia="宋体" w:cs="Times New Roman"/>
                      <w:color w:val="000000" w:themeColor="text1"/>
                      <w:kern w:val="2"/>
                      <w:sz w:val="21"/>
                      <w:szCs w:val="24"/>
                      <w:lang w:val="zh-CN"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4"/>
                      <w:lang w:val="zh-CN" w:eastAsia="zh-CN" w:bidi="ar-SA"/>
                      <w14:textFill>
                        <w14:solidFill>
                          <w14:schemeClr w14:val="tx1"/>
                        </w14:solidFill>
                      </w14:textFill>
                    </w:rPr>
                    <w:t>十四五</w:t>
                  </w:r>
                  <w:r>
                    <w:rPr>
                      <w:rFonts w:hint="eastAsia" w:ascii="Times New Roman" w:hAnsi="Times New Roman" w:eastAsia="宋体" w:cs="Times New Roman"/>
                      <w:color w:val="000000" w:themeColor="text1"/>
                      <w:kern w:val="2"/>
                      <w:sz w:val="21"/>
                      <w:szCs w:val="24"/>
                      <w:lang w:val="zh-CN"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4"/>
                      <w:lang w:val="zh-CN" w:eastAsia="zh-CN" w:bidi="ar-SA"/>
                      <w14:textFill>
                        <w14:solidFill>
                          <w14:schemeClr w14:val="tx1"/>
                        </w14:solidFill>
                      </w14:textFill>
                    </w:rPr>
                    <w:t>生态环境保护规划</w:t>
                  </w:r>
                </w:p>
              </w:tc>
              <w:tc>
                <w:tcPr>
                  <w:tcW w:w="3367" w:type="dxa"/>
                  <w:noWrap w:val="0"/>
                  <w:vAlign w:val="center"/>
                </w:tcPr>
                <w:p w14:paraId="77A1ED64">
                  <w:pPr>
                    <w:pStyle w:val="14"/>
                    <w:numPr>
                      <w:ilvl w:val="0"/>
                      <w:numId w:val="0"/>
                    </w:numPr>
                    <w:spacing w:line="240" w:lineRule="auto"/>
                    <w:jc w:val="both"/>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严格控制施工扬尘。认真执行《陕西地区施工现场扬尘专项治理方案》，禁止城市建成区建筑工地现场搅拌混凝土。严格执行《建筑施工扬尘治理措施16条》，将扬尘污染防治纳入建筑工地开工审批条件并严格把关，将防治扬尘污染费用列入工程造价，对落实建设项目“洒水、覆盖、硬化、冲洗、绿化、围挡”六个100%措施不力的企业，在建筑市场监管与诚信信息平台进行曝光，记入企业不良信用记录。到2025年，房建、市政、道路维护及大修、交通、园林绿化、水利等工程建设工地扬尘污染防治措施覆盖率达到100%，施工现场主要道路硬化率达到100%。</w:t>
                  </w:r>
                </w:p>
              </w:tc>
              <w:tc>
                <w:tcPr>
                  <w:tcW w:w="2340" w:type="dxa"/>
                  <w:noWrap w:val="0"/>
                  <w:vAlign w:val="center"/>
                </w:tcPr>
                <w:p w14:paraId="012790B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要求建设单位在施工期严格做到六个100%</w:t>
                  </w:r>
                </w:p>
              </w:tc>
              <w:tc>
                <w:tcPr>
                  <w:tcW w:w="1080" w:type="dxa"/>
                  <w:noWrap w:val="0"/>
                  <w:vAlign w:val="center"/>
                </w:tcPr>
                <w:p w14:paraId="6AD524E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40AB7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continue"/>
                  <w:noWrap w:val="0"/>
                  <w:vAlign w:val="center"/>
                </w:tcPr>
                <w:p w14:paraId="0B9C63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4"/>
                      <w:lang w:val="zh-CN" w:eastAsia="zh-CN" w:bidi="ar-SA"/>
                      <w14:textFill>
                        <w14:solidFill>
                          <w14:schemeClr w14:val="tx1"/>
                        </w14:solidFill>
                      </w14:textFill>
                    </w:rPr>
                  </w:pPr>
                </w:p>
              </w:tc>
              <w:tc>
                <w:tcPr>
                  <w:tcW w:w="3367" w:type="dxa"/>
                  <w:noWrap w:val="0"/>
                  <w:vAlign w:val="center"/>
                </w:tcPr>
                <w:p w14:paraId="2FF7B959">
                  <w:pPr>
                    <w:spacing w:line="240" w:lineRule="auto"/>
                    <w:jc w:val="both"/>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bookmarkStart w:id="2" w:name="_Toc80433746"/>
                  <w:bookmarkStart w:id="3" w:name="_Toc26479_WPSOffice_Level2"/>
                  <w:bookmarkStart w:id="4" w:name="_Toc80433751"/>
                  <w:bookmarkStart w:id="5" w:name="_Toc15594_WPSOffice_Level3"/>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五、坚持三水统筹，稳步提升水生态环境质量（二）持续深化水污染治理</w:t>
                  </w:r>
                  <w:bookmarkEnd w:id="2"/>
                  <w:bookmarkEnd w:id="3"/>
                </w:p>
                <w:p w14:paraId="06DB4486">
                  <w:pPr>
                    <w:spacing w:line="240" w:lineRule="auto"/>
                    <w:jc w:val="both"/>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5、加强农业农村水污染防治</w:t>
                  </w:r>
                  <w:bookmarkEnd w:id="4"/>
                  <w:bookmarkEnd w:id="5"/>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全面推进清洁健康养殖。编制实施县域畜禽养殖污染防治规划，推动种养结合和粪污综合利用，严格畜禽养殖禁养区管理。</w:t>
                  </w:r>
                </w:p>
              </w:tc>
              <w:tc>
                <w:tcPr>
                  <w:tcW w:w="2340" w:type="dxa"/>
                  <w:noWrap w:val="0"/>
                  <w:vAlign w:val="center"/>
                </w:tcPr>
                <w:p w14:paraId="38D29801">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4"/>
                      <w:lang w:val="en-US" w:eastAsia="zh-CN" w:bidi="ar-SA"/>
                      <w14:textFill>
                        <w14:solidFill>
                          <w14:schemeClr w14:val="tx1"/>
                        </w14:solidFill>
                      </w14:textFill>
                    </w:rPr>
                    <w:t>本项目属于</w:t>
                  </w:r>
                  <w:r>
                    <w:rPr>
                      <w:rFonts w:hint="eastAsia" w:cs="Times New Roman"/>
                      <w:color w:val="000000" w:themeColor="text1"/>
                      <w:kern w:val="2"/>
                      <w:sz w:val="21"/>
                      <w:szCs w:val="24"/>
                      <w:lang w:val="en-US" w:eastAsia="zh-CN" w:bidi="ar-SA"/>
                      <w14:textFill>
                        <w14:solidFill>
                          <w14:schemeClr w14:val="tx1"/>
                        </w14:solidFill>
                      </w14:textFill>
                    </w:rPr>
                    <w:t>阳平镇东风村</w:t>
                  </w:r>
                  <w:r>
                    <w:rPr>
                      <w:rFonts w:hint="eastAsia" w:ascii="Times New Roman" w:hAnsi="Times New Roman" w:cs="Times New Roman"/>
                      <w:color w:val="000000" w:themeColor="text1"/>
                      <w:kern w:val="2"/>
                      <w:sz w:val="21"/>
                      <w:szCs w:val="24"/>
                      <w:lang w:val="en-US" w:eastAsia="zh-CN" w:bidi="ar-SA"/>
                      <w14:textFill>
                        <w14:solidFill>
                          <w14:schemeClr w14:val="tx1"/>
                        </w14:solidFill>
                      </w14:textFill>
                    </w:rPr>
                    <w:t>为当地畜禽养殖户配套的粪污综合利用项目</w:t>
                  </w:r>
                </w:p>
              </w:tc>
              <w:tc>
                <w:tcPr>
                  <w:tcW w:w="1080" w:type="dxa"/>
                  <w:noWrap w:val="0"/>
                  <w:vAlign w:val="center"/>
                </w:tcPr>
                <w:p w14:paraId="3C2A1F0E">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4"/>
                      <w:lang w:val="en-US" w:eastAsia="zh-CN" w:bidi="ar-SA"/>
                      <w14:textFill>
                        <w14:solidFill>
                          <w14:schemeClr w14:val="tx1"/>
                        </w14:solidFill>
                      </w14:textFill>
                    </w:rPr>
                    <w:t>符合</w:t>
                  </w:r>
                </w:p>
              </w:tc>
            </w:tr>
            <w:tr w14:paraId="42FE9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continue"/>
                  <w:noWrap w:val="0"/>
                  <w:vAlign w:val="center"/>
                </w:tcPr>
                <w:p w14:paraId="7A1CE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4"/>
                      <w:lang w:val="zh-CN" w:eastAsia="zh-CN" w:bidi="ar-SA"/>
                      <w14:textFill>
                        <w14:solidFill>
                          <w14:schemeClr w14:val="tx1"/>
                        </w14:solidFill>
                      </w14:textFill>
                    </w:rPr>
                  </w:pPr>
                </w:p>
              </w:tc>
              <w:tc>
                <w:tcPr>
                  <w:tcW w:w="3367" w:type="dxa"/>
                  <w:noWrap w:val="0"/>
                  <w:vAlign w:val="center"/>
                </w:tcPr>
                <w:p w14:paraId="7CA58A8E">
                  <w:pPr>
                    <w:spacing w:line="240" w:lineRule="auto"/>
                    <w:jc w:val="both"/>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bookmarkStart w:id="6" w:name="_Toc32136_WPSOffice_Level1"/>
                  <w:bookmarkStart w:id="7" w:name="_Toc32636_WPSOffice_Level1"/>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宝鸡市“十四五”生态环境保护重大工程与项目表</w:t>
                  </w:r>
                  <w:bookmarkEnd w:id="6"/>
                  <w:bookmarkEnd w:id="7"/>
                </w:p>
                <w:p w14:paraId="1230EE7A">
                  <w:pPr>
                    <w:pStyle w:val="5"/>
                    <w:spacing w:line="240" w:lineRule="auto"/>
                    <w:ind w:left="0" w:leftChars="0"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四、固体废物污染防治</w:t>
                  </w:r>
                  <w:r>
                    <w:rPr>
                      <w:rFonts w:hint="eastAsia" w:cs="Times New Roman"/>
                      <w:color w:val="000000" w:themeColor="text1"/>
                      <w:kern w:val="2"/>
                      <w:sz w:val="21"/>
                      <w:szCs w:val="24"/>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32：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畜禽粪污资源化利用项目</w:t>
                  </w:r>
                </w:p>
              </w:tc>
              <w:tc>
                <w:tcPr>
                  <w:tcW w:w="2340" w:type="dxa"/>
                  <w:noWrap w:val="0"/>
                  <w:vAlign w:val="center"/>
                </w:tcPr>
                <w:p w14:paraId="09D464F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本项目属于粪污综合利用项目</w:t>
                  </w:r>
                </w:p>
              </w:tc>
              <w:tc>
                <w:tcPr>
                  <w:tcW w:w="1080" w:type="dxa"/>
                  <w:noWrap w:val="0"/>
                  <w:vAlign w:val="center"/>
                </w:tcPr>
                <w:p w14:paraId="3CD10D6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BAEF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restart"/>
                  <w:noWrap w:val="0"/>
                  <w:vAlign w:val="center"/>
                </w:tcPr>
                <w:p w14:paraId="5C58A01F">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《畜禽养殖业污染防治技术规范》</w:t>
                  </w:r>
                  <w:r>
                    <w:rPr>
                      <w:rFonts w:hint="eastAsia" w:cs="Times New Roman"/>
                      <w:color w:val="000000" w:themeColor="text1"/>
                      <w:kern w:val="21"/>
                      <w:sz w:val="21"/>
                      <w:szCs w:val="21"/>
                      <w:lang w:val="en-US" w:eastAsia="zh-CN"/>
                      <w14:textFill>
                        <w14:solidFill>
                          <w14:schemeClr w14:val="tx1"/>
                        </w14:solidFill>
                      </w14:textFill>
                    </w:rPr>
                    <w:t>HJ/T 81-2001</w:t>
                  </w:r>
                </w:p>
              </w:tc>
              <w:tc>
                <w:tcPr>
                  <w:tcW w:w="3367" w:type="dxa"/>
                  <w:noWrap w:val="0"/>
                  <w:vAlign w:val="center"/>
                </w:tcPr>
                <w:p w14:paraId="7D8CA993">
                  <w:pPr>
                    <w:adjustRightInd w:val="0"/>
                    <w:snapToGrid w:val="0"/>
                    <w:spacing w:line="240" w:lineRule="auto"/>
                    <w:jc w:val="left"/>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14:textFill>
                        <w14:solidFill>
                          <w14:schemeClr w14:val="tx1"/>
                        </w14:solidFill>
                      </w14:textFill>
                    </w:rPr>
                    <w:t>禽粪便必须经过无害化处理，并且须符合《粪便无害化卫生标准》后，才能进行土地利用。禁止未经处理的畜禽粪便直接施</w:t>
                  </w:r>
                  <w:r>
                    <w:rPr>
                      <w:rFonts w:hint="eastAsia" w:cs="Times New Roman"/>
                      <w:bCs/>
                      <w:color w:val="000000" w:themeColor="text1"/>
                      <w:kern w:val="21"/>
                      <w:sz w:val="21"/>
                      <w:szCs w:val="21"/>
                      <w:lang w:eastAsia="zh-CN"/>
                      <w14:textFill>
                        <w14:solidFill>
                          <w14:schemeClr w14:val="tx1"/>
                        </w14:solidFill>
                      </w14:textFill>
                    </w:rPr>
                    <w:t>入</w:t>
                  </w:r>
                  <w:r>
                    <w:rPr>
                      <w:rFonts w:hint="default" w:ascii="Times New Roman" w:hAnsi="Times New Roman" w:cs="Times New Roman"/>
                      <w:bCs/>
                      <w:color w:val="000000" w:themeColor="text1"/>
                      <w:kern w:val="21"/>
                      <w:sz w:val="21"/>
                      <w:szCs w:val="21"/>
                      <w14:textFill>
                        <w14:solidFill>
                          <w14:schemeClr w14:val="tx1"/>
                        </w14:solidFill>
                      </w14:textFill>
                    </w:rPr>
                    <w:t>农田。</w:t>
                  </w:r>
                </w:p>
              </w:tc>
              <w:tc>
                <w:tcPr>
                  <w:tcW w:w="2340" w:type="dxa"/>
                  <w:noWrap w:val="0"/>
                  <w:vAlign w:val="center"/>
                </w:tcPr>
                <w:p w14:paraId="1FC6C25D">
                  <w:pPr>
                    <w:adjustRightInd w:val="0"/>
                    <w:snapToGrid w:val="0"/>
                    <w:spacing w:line="240" w:lineRule="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本项目是将禽畜粪便制作成有机肥，有机肥经</w:t>
                  </w:r>
                  <w:r>
                    <w:rPr>
                      <w:rFonts w:hint="eastAsia" w:cs="Times New Roman"/>
                      <w:color w:val="000000" w:themeColor="text1"/>
                      <w:kern w:val="21"/>
                      <w:sz w:val="21"/>
                      <w:szCs w:val="21"/>
                      <w:lang w:val="en-US" w:eastAsia="zh-CN"/>
                      <w14:textFill>
                        <w14:solidFill>
                          <w14:schemeClr w14:val="tx1"/>
                        </w14:solidFill>
                      </w14:textFill>
                    </w:rPr>
                    <w:t>委外</w:t>
                  </w:r>
                  <w:r>
                    <w:rPr>
                      <w:rFonts w:hint="default" w:ascii="Times New Roman" w:hAnsi="Times New Roman" w:cs="Times New Roman"/>
                      <w:color w:val="000000" w:themeColor="text1"/>
                      <w:kern w:val="21"/>
                      <w:sz w:val="21"/>
                      <w:szCs w:val="21"/>
                      <w:lang w:val="en-US" w:eastAsia="zh-CN"/>
                      <w14:textFill>
                        <w14:solidFill>
                          <w14:schemeClr w14:val="tx1"/>
                        </w14:solidFill>
                      </w14:textFill>
                    </w:rPr>
                    <w:t>化验合格后进行外售处理</w:t>
                  </w:r>
                </w:p>
              </w:tc>
              <w:tc>
                <w:tcPr>
                  <w:tcW w:w="1080" w:type="dxa"/>
                  <w:noWrap w:val="0"/>
                  <w:vAlign w:val="center"/>
                </w:tcPr>
                <w:p w14:paraId="12837627">
                  <w:pPr>
                    <w:adjustRightInd w:val="0"/>
                    <w:snapToGrid w:val="0"/>
                    <w:spacing w:line="240" w:lineRule="auto"/>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符合</w:t>
                  </w:r>
                </w:p>
              </w:tc>
            </w:tr>
            <w:tr w14:paraId="659C4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continue"/>
                  <w:noWrap w:val="0"/>
                  <w:vAlign w:val="center"/>
                </w:tcPr>
                <w:p w14:paraId="58DF4B2B">
                  <w:pPr>
                    <w:spacing w:line="240" w:lineRule="auto"/>
                    <w:jc w:val="center"/>
                    <w:rPr>
                      <w:rFonts w:hint="default" w:ascii="Times New Roman" w:hAnsi="Times New Roman" w:cs="Times New Roman"/>
                      <w:color w:val="000000" w:themeColor="text1"/>
                      <w:kern w:val="21"/>
                      <w:sz w:val="21"/>
                      <w:szCs w:val="21"/>
                      <w:lang w:val="en-US" w:eastAsia="zh-CN"/>
                      <w14:textFill>
                        <w14:solidFill>
                          <w14:schemeClr w14:val="tx1"/>
                        </w14:solidFill>
                      </w14:textFill>
                    </w:rPr>
                  </w:pPr>
                </w:p>
              </w:tc>
              <w:tc>
                <w:tcPr>
                  <w:tcW w:w="3367" w:type="dxa"/>
                  <w:noWrap w:val="0"/>
                  <w:vAlign w:val="center"/>
                </w:tcPr>
                <w:p w14:paraId="1471D755">
                  <w:pPr>
                    <w:adjustRightInd w:val="0"/>
                    <w:snapToGrid w:val="0"/>
                    <w:spacing w:line="240" w:lineRule="auto"/>
                    <w:jc w:val="left"/>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14:textFill>
                        <w14:solidFill>
                          <w14:schemeClr w14:val="tx1"/>
                        </w14:solidFill>
                      </w14:textFill>
                    </w:rPr>
                    <w:t>固体粪肥的堆制可采用高温好氧发酵</w:t>
                  </w:r>
                  <w:r>
                    <w:rPr>
                      <w:rFonts w:hint="eastAsia" w:cs="Times New Roman"/>
                      <w:bCs/>
                      <w:color w:val="000000" w:themeColor="text1"/>
                      <w:kern w:val="21"/>
                      <w:sz w:val="21"/>
                      <w:szCs w:val="21"/>
                      <w:lang w:eastAsia="zh-CN"/>
                      <w14:textFill>
                        <w14:solidFill>
                          <w14:schemeClr w14:val="tx1"/>
                        </w14:solidFill>
                      </w14:textFill>
                    </w:rPr>
                    <w:t>或其他</w:t>
                  </w:r>
                  <w:r>
                    <w:rPr>
                      <w:rFonts w:hint="default" w:ascii="Times New Roman" w:hAnsi="Times New Roman" w:cs="Times New Roman"/>
                      <w:bCs/>
                      <w:color w:val="000000" w:themeColor="text1"/>
                      <w:kern w:val="21"/>
                      <w:sz w:val="21"/>
                      <w:szCs w:val="21"/>
                      <w14:textFill>
                        <w14:solidFill>
                          <w14:schemeClr w14:val="tx1"/>
                        </w14:solidFill>
                      </w14:textFill>
                    </w:rPr>
                    <w:t>适用技术和方法，以杀死其中的病原菌和蛔虫卵。缩短堆制时间，实现无害化。</w:t>
                  </w:r>
                </w:p>
              </w:tc>
              <w:tc>
                <w:tcPr>
                  <w:tcW w:w="2340" w:type="dxa"/>
                  <w:noWrap w:val="0"/>
                  <w:vAlign w:val="center"/>
                </w:tcPr>
                <w:p w14:paraId="3B1392DA">
                  <w:pPr>
                    <w:adjustRightInd w:val="0"/>
                    <w:snapToGrid w:val="0"/>
                    <w:spacing w:line="240" w:lineRule="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本项目采取生物菌剂进行发酵，可以有效</w:t>
                  </w:r>
                  <w:r>
                    <w:rPr>
                      <w:rFonts w:hint="eastAsia" w:cs="Times New Roman"/>
                      <w:color w:val="000000" w:themeColor="text1"/>
                      <w:kern w:val="21"/>
                      <w:sz w:val="21"/>
                      <w:szCs w:val="21"/>
                      <w:lang w:val="en-US" w:eastAsia="zh-CN"/>
                      <w14:textFill>
                        <w14:solidFill>
                          <w14:schemeClr w14:val="tx1"/>
                        </w14:solidFill>
                      </w14:textFill>
                    </w:rPr>
                    <w:t>地</w:t>
                  </w:r>
                  <w:r>
                    <w:rPr>
                      <w:rFonts w:hint="default" w:ascii="Times New Roman" w:hAnsi="Times New Roman" w:cs="Times New Roman"/>
                      <w:color w:val="000000" w:themeColor="text1"/>
                      <w:kern w:val="21"/>
                      <w:sz w:val="21"/>
                      <w:szCs w:val="21"/>
                      <w:lang w:val="en-US" w:eastAsia="zh-CN"/>
                      <w14:textFill>
                        <w14:solidFill>
                          <w14:schemeClr w14:val="tx1"/>
                        </w14:solidFill>
                      </w14:textFill>
                    </w:rPr>
                    <w:t>杀死原料中的病原菌和蛔虫卵</w:t>
                  </w:r>
                  <w:r>
                    <w:rPr>
                      <w:rFonts w:hint="eastAsia" w:cs="Times New Roman"/>
                      <w:color w:val="000000" w:themeColor="text1"/>
                      <w:kern w:val="21"/>
                      <w:sz w:val="21"/>
                      <w:szCs w:val="21"/>
                      <w:lang w:val="en-US" w:eastAsia="zh-CN"/>
                      <w14:textFill>
                        <w14:solidFill>
                          <w14:schemeClr w14:val="tx1"/>
                        </w14:solidFill>
                      </w14:textFill>
                    </w:rPr>
                    <w:t>。</w:t>
                  </w:r>
                </w:p>
              </w:tc>
              <w:tc>
                <w:tcPr>
                  <w:tcW w:w="1080" w:type="dxa"/>
                  <w:noWrap w:val="0"/>
                  <w:vAlign w:val="center"/>
                </w:tcPr>
                <w:p w14:paraId="5D942153">
                  <w:pPr>
                    <w:adjustRightInd w:val="0"/>
                    <w:snapToGrid w:val="0"/>
                    <w:spacing w:line="240" w:lineRule="auto"/>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符合</w:t>
                  </w:r>
                </w:p>
              </w:tc>
            </w:tr>
            <w:tr w14:paraId="04483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8" w:hRule="atLeast"/>
                <w:jc w:val="center"/>
              </w:trPr>
              <w:tc>
                <w:tcPr>
                  <w:tcW w:w="1491" w:type="dxa"/>
                  <w:noWrap w:val="0"/>
                  <w:vAlign w:val="center"/>
                </w:tcPr>
                <w:p w14:paraId="1B8F3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《国土资源部农业部关于进一步支持设施农业健康发展的通知》（国土资发</w:t>
                  </w:r>
                  <w:r>
                    <w:rPr>
                      <w:rFonts w:hint="eastAsia" w:cs="Times New Roman"/>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2014</w:t>
                  </w:r>
                  <w:r>
                    <w:rPr>
                      <w:rFonts w:hint="eastAsia" w:cs="Times New Roman"/>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127号）</w:t>
                  </w:r>
                </w:p>
              </w:tc>
              <w:tc>
                <w:tcPr>
                  <w:tcW w:w="3367" w:type="dxa"/>
                  <w:noWrap w:val="0"/>
                  <w:vAlign w:val="center"/>
                </w:tcPr>
                <w:p w14:paraId="364AED29">
                  <w:pPr>
                    <w:pStyle w:val="14"/>
                    <w:numPr>
                      <w:ilvl w:val="0"/>
                      <w:numId w:val="0"/>
                    </w:numPr>
                    <w:spacing w:line="240" w:lineRule="auto"/>
                    <w:ind w:left="0" w:leftChars="0" w:firstLine="0" w:firstLineChars="0"/>
                    <w:jc w:val="both"/>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《通知》共分为四部分：一是合理界定</w:t>
                  </w:r>
                  <w:r>
                    <w:rPr>
                      <w:rFonts w:hint="eastAsia" w:cs="Times New Roman"/>
                      <w:color w:val="000000" w:themeColor="text1"/>
                      <w:lang w:val="en-US" w:eastAsia="zh-CN"/>
                      <w14:textFill>
                        <w14:solidFill>
                          <w14:schemeClr w14:val="tx1"/>
                        </w14:solidFill>
                      </w14:textFill>
                    </w:rPr>
                    <w:t>建设用地</w:t>
                  </w:r>
                  <w:r>
                    <w:rPr>
                      <w:rFonts w:hint="default" w:ascii="Times New Roman" w:hAnsi="Times New Roman" w:cs="Times New Roman"/>
                      <w:color w:val="000000" w:themeColor="text1"/>
                      <w:lang w:val="en-US" w:eastAsia="zh-CN"/>
                      <w14:textFill>
                        <w14:solidFill>
                          <w14:schemeClr w14:val="tx1"/>
                        </w14:solidFill>
                      </w14:textFill>
                    </w:rPr>
                    <w:t>范围。《通知》将</w:t>
                  </w:r>
                  <w:r>
                    <w:rPr>
                      <w:rFonts w:hint="eastAsia" w:cs="Times New Roman"/>
                      <w:color w:val="000000" w:themeColor="text1"/>
                      <w:lang w:val="en-US" w:eastAsia="zh-CN"/>
                      <w14:textFill>
                        <w14:solidFill>
                          <w14:schemeClr w14:val="tx1"/>
                        </w14:solidFill>
                      </w14:textFill>
                    </w:rPr>
                    <w:t>建设用地</w:t>
                  </w:r>
                  <w:r>
                    <w:rPr>
                      <w:rFonts w:hint="default" w:ascii="Times New Roman" w:hAnsi="Times New Roman" w:cs="Times New Roman"/>
                      <w:color w:val="000000" w:themeColor="text1"/>
                      <w:lang w:val="en-US" w:eastAsia="zh-CN"/>
                      <w14:textFill>
                        <w14:solidFill>
                          <w14:schemeClr w14:val="tx1"/>
                        </w14:solidFill>
                      </w14:textFill>
                    </w:rPr>
                    <w:t>具体划分为生产设施用地、附属设施用地以及配套设施用地，进一步明确三方面范围。在界定范围时，将规模化粮食生产所需的配套设施用地，纳入</w:t>
                  </w:r>
                  <w:r>
                    <w:rPr>
                      <w:rFonts w:hint="eastAsia" w:cs="Times New Roman"/>
                      <w:color w:val="000000" w:themeColor="text1"/>
                      <w:lang w:val="en-US" w:eastAsia="zh-CN"/>
                      <w14:textFill>
                        <w14:solidFill>
                          <w14:schemeClr w14:val="tx1"/>
                        </w14:solidFill>
                      </w14:textFill>
                    </w:rPr>
                    <w:t>建设用地</w:t>
                  </w:r>
                  <w:r>
                    <w:rPr>
                      <w:rFonts w:hint="default" w:ascii="Times New Roman" w:hAnsi="Times New Roman" w:cs="Times New Roman"/>
                      <w:color w:val="000000" w:themeColor="text1"/>
                      <w:lang w:val="en-US" w:eastAsia="zh-CN"/>
                      <w14:textFill>
                        <w14:solidFill>
                          <w14:schemeClr w14:val="tx1"/>
                        </w14:solidFill>
                      </w14:textFill>
                    </w:rPr>
                    <w:t>范围，以支持土地规模经营和规模化粮食生产；同时，将附属设施中的生活用地从</w:t>
                  </w:r>
                  <w:r>
                    <w:rPr>
                      <w:rFonts w:hint="eastAsia" w:cs="Times New Roman"/>
                      <w:color w:val="000000" w:themeColor="text1"/>
                      <w:lang w:val="en-US" w:eastAsia="zh-CN"/>
                      <w14:textFill>
                        <w14:solidFill>
                          <w14:schemeClr w14:val="tx1"/>
                        </w14:solidFill>
                      </w14:textFill>
                    </w:rPr>
                    <w:t>建设用地</w:t>
                  </w:r>
                  <w:r>
                    <w:rPr>
                      <w:rFonts w:hint="default" w:ascii="Times New Roman" w:hAnsi="Times New Roman" w:cs="Times New Roman"/>
                      <w:color w:val="000000" w:themeColor="text1"/>
                      <w:lang w:val="en-US" w:eastAsia="zh-CN"/>
                      <w14:textFill>
                        <w14:solidFill>
                          <w14:schemeClr w14:val="tx1"/>
                        </w14:solidFill>
                      </w14:textFill>
                    </w:rPr>
                    <w:t>范围中剔除。《通知》明确，严禁随意扩大</w:t>
                  </w:r>
                  <w:r>
                    <w:rPr>
                      <w:rFonts w:hint="eastAsia" w:cs="Times New Roman"/>
                      <w:color w:val="000000" w:themeColor="text1"/>
                      <w:lang w:val="en-US" w:eastAsia="zh-CN"/>
                      <w14:textFill>
                        <w14:solidFill>
                          <w14:schemeClr w14:val="tx1"/>
                        </w14:solidFill>
                      </w14:textFill>
                    </w:rPr>
                    <w:t>建设用地</w:t>
                  </w:r>
                  <w:r>
                    <w:rPr>
                      <w:rFonts w:hint="default" w:ascii="Times New Roman" w:hAnsi="Times New Roman" w:cs="Times New Roman"/>
                      <w:color w:val="000000" w:themeColor="text1"/>
                      <w:lang w:val="en-US" w:eastAsia="zh-CN"/>
                      <w14:textFill>
                        <w14:solidFill>
                          <w14:schemeClr w14:val="tx1"/>
                        </w14:solidFill>
                      </w14:textFill>
                    </w:rPr>
                    <w:t>范围，经营性粮食存储、加工和农机农资存放、维修场所，以农业为依托的休闲观光度假场所、各类庄园、酒庄、农家乐，以及各类农业园区中涉及建设永久性餐饮、住宿、会议、大型停车场、工厂化农产品加工、展销等用地，必须依法依规按建设用地进行管理。</w:t>
                  </w:r>
                </w:p>
              </w:tc>
              <w:tc>
                <w:tcPr>
                  <w:tcW w:w="2340" w:type="dxa"/>
                  <w:noWrap w:val="0"/>
                  <w:vAlign w:val="center"/>
                </w:tcPr>
                <w:p w14:paraId="0E565FC8">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项目属于设施农业畜禽养殖的配套设施，项目所用地为设施农业用地，符合该通知中的相关要求。</w:t>
                  </w:r>
                </w:p>
              </w:tc>
              <w:tc>
                <w:tcPr>
                  <w:tcW w:w="1080" w:type="dxa"/>
                  <w:noWrap w:val="0"/>
                  <w:vAlign w:val="center"/>
                </w:tcPr>
                <w:p w14:paraId="24A09FB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13AA9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 w:hRule="atLeast"/>
                <w:jc w:val="center"/>
              </w:trPr>
              <w:tc>
                <w:tcPr>
                  <w:tcW w:w="1491" w:type="dxa"/>
                  <w:noWrap w:val="0"/>
                  <w:vAlign w:val="center"/>
                </w:tcPr>
                <w:p w14:paraId="12154FD8">
                  <w:pPr>
                    <w:spacing w:line="240" w:lineRule="auto"/>
                    <w:jc w:val="both"/>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国家发改委、农业部关于印发</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编制</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秸秆综合利用规划的指导意见发改环资</w:t>
                  </w:r>
                  <w:r>
                    <w:rPr>
                      <w:rFonts w:hint="eastAsia"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2009</w:t>
                  </w:r>
                  <w:r>
                    <w:rPr>
                      <w:rFonts w:hint="eastAsia"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378号文件</w:t>
                  </w:r>
                </w:p>
              </w:tc>
              <w:tc>
                <w:tcPr>
                  <w:tcW w:w="3367" w:type="dxa"/>
                  <w:noWrap w:val="0"/>
                  <w:vAlign w:val="center"/>
                </w:tcPr>
                <w:p w14:paraId="3968A4A3">
                  <w:pPr>
                    <w:numPr>
                      <w:ilvl w:val="0"/>
                      <w:numId w:val="0"/>
                    </w:numPr>
                    <w:adjustRightInd w:val="0"/>
                    <w:snapToGrid w:val="0"/>
                    <w:spacing w:line="240" w:lineRule="auto"/>
                    <w:jc w:val="left"/>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三、编制的主要任务和进度要求</w:t>
                  </w:r>
                </w:p>
                <w:p w14:paraId="398632D2">
                  <w:pPr>
                    <w:pStyle w:val="30"/>
                    <w:numPr>
                      <w:ilvl w:val="0"/>
                      <w:numId w:val="3"/>
                    </w:numPr>
                    <w:spacing w:line="240" w:lineRule="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主要任务</w:t>
                  </w:r>
                </w:p>
                <w:p w14:paraId="17F64B52">
                  <w:pPr>
                    <w:pStyle w:val="30"/>
                    <w:numPr>
                      <w:ilvl w:val="0"/>
                      <w:numId w:val="0"/>
                    </w:numPr>
                    <w:spacing w:line="240" w:lineRule="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各省（区、市）要在开展秸秆资源调查，进一步摸清秸秆资源潜力和利用现状的</w:t>
                  </w:r>
                  <w:r>
                    <w:rPr>
                      <w:rFonts w:hint="eastAsia" w:ascii="Times New Roman" w:cs="Times New Roman"/>
                      <w:color w:val="000000" w:themeColor="text1"/>
                      <w:kern w:val="2"/>
                      <w:sz w:val="21"/>
                      <w:szCs w:val="24"/>
                      <w:lang w:val="en-US" w:eastAsia="zh-CN" w:bidi="ar-SA"/>
                      <w14:textFill>
                        <w14:solidFill>
                          <w14:schemeClr w14:val="tx1"/>
                        </w14:solidFill>
                      </w14:textFill>
                    </w:rPr>
                    <w:t>基础上</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，根据资源分布情况，合理确定适宜本地区的秸秆综合利用方式（饲料、肥料、燃料、食用菌基料和工业原料等）、数量和布局，设定发展目标，鼓励秸秆还田和多元化利用产业的共生组合</w:t>
                  </w:r>
                </w:p>
              </w:tc>
              <w:tc>
                <w:tcPr>
                  <w:tcW w:w="2340" w:type="dxa"/>
                  <w:noWrap w:val="0"/>
                  <w:vAlign w:val="center"/>
                </w:tcPr>
                <w:p w14:paraId="097A18DE">
                  <w:pPr>
                    <w:adjustRightInd w:val="0"/>
                    <w:snapToGrid w:val="0"/>
                    <w:spacing w:line="240" w:lineRule="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本项目主要利用肥料制造肥料，符合规划的主要任务和鼓励方向</w:t>
                  </w:r>
                  <w:r>
                    <w:rPr>
                      <w:rFonts w:hint="eastAsia" w:cs="Times New Roman"/>
                      <w:color w:val="000000" w:themeColor="text1"/>
                      <w:kern w:val="2"/>
                      <w:sz w:val="21"/>
                      <w:szCs w:val="24"/>
                      <w:lang w:val="en-US" w:eastAsia="zh-CN" w:bidi="ar-SA"/>
                      <w14:textFill>
                        <w14:solidFill>
                          <w14:schemeClr w14:val="tx1"/>
                        </w14:solidFill>
                      </w14:textFill>
                    </w:rPr>
                    <w:t>。</w:t>
                  </w:r>
                </w:p>
              </w:tc>
              <w:tc>
                <w:tcPr>
                  <w:tcW w:w="1080" w:type="dxa"/>
                  <w:noWrap w:val="0"/>
                  <w:vAlign w:val="center"/>
                </w:tcPr>
                <w:p w14:paraId="1EFBF718">
                  <w:pPr>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符合</w:t>
                  </w:r>
                </w:p>
              </w:tc>
            </w:tr>
            <w:tr w14:paraId="3123BA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4" w:hRule="atLeast"/>
                <w:jc w:val="center"/>
              </w:trPr>
              <w:tc>
                <w:tcPr>
                  <w:tcW w:w="1491" w:type="dxa"/>
                  <w:noWrap w:val="0"/>
                  <w:vAlign w:val="center"/>
                </w:tcPr>
                <w:p w14:paraId="5752FD46">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《固体废物再生利用污染防治技术导则》（HJ1091-2020）</w:t>
                  </w:r>
                </w:p>
              </w:tc>
              <w:tc>
                <w:tcPr>
                  <w:tcW w:w="3367" w:type="dxa"/>
                  <w:noWrap w:val="0"/>
                  <w:vAlign w:val="center"/>
                </w:tcPr>
                <w:p w14:paraId="22ADE61D">
                  <w:pPr>
                    <w:spacing w:line="240" w:lineRule="auto"/>
                    <w:jc w:val="both"/>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5.12.3堆肥工艺应符合以下要求：（1）应对堆肥原料进行脱水、脱盐、氮氧比调节等预处理；（2）应合理控制堆肥温度、持续时间；（3）应采取措施控制堆肥预处理车间和堆肥车间的臭气排放；（4）固体废物堆肥过程产生的渗滤液收集后应进行集中处理，处理后的渗滤液应优先考虑循环利用；（5）堆肥产品符合GB8172、GB38400、GB/T23486、GB/T24600、CJ/T309、CJ/T362的相关质量要求</w:t>
                  </w:r>
                </w:p>
              </w:tc>
              <w:tc>
                <w:tcPr>
                  <w:tcW w:w="2340" w:type="dxa"/>
                  <w:noWrap w:val="0"/>
                  <w:vAlign w:val="center"/>
                </w:tcPr>
                <w:p w14:paraId="452422FD">
                  <w:pPr>
                    <w:numPr>
                      <w:ilvl w:val="0"/>
                      <w:numId w:val="4"/>
                    </w:numPr>
                    <w:adjustRightInd w:val="0"/>
                    <w:snapToGrid w:val="0"/>
                    <w:spacing w:line="240" w:lineRule="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本项目堆肥前掺入秸秆，用以调节畜禽粪便的含水量和碳氮比，增加发酵物的透气性；（2）发酵过程严格控制发酵温度和持续时间；（3）堆肥车间产生的恶臭气体采用一体化除臭设施处理后高空排放；（4）堆肥过程产生的渗滤液集中收集拉运堆肥；（5）本项目的产品最终符合《有机肥料》（NY/T 525-2021）</w:t>
                  </w:r>
                </w:p>
              </w:tc>
              <w:tc>
                <w:tcPr>
                  <w:tcW w:w="1080" w:type="dxa"/>
                  <w:noWrap w:val="0"/>
                  <w:vAlign w:val="center"/>
                </w:tcPr>
                <w:p w14:paraId="06962F51">
                  <w:pPr>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符合</w:t>
                  </w:r>
                </w:p>
              </w:tc>
            </w:tr>
            <w:tr w14:paraId="31A51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noWrap w:val="0"/>
                  <w:vAlign w:val="center"/>
                </w:tcPr>
                <w:p w14:paraId="52002E50">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农业农村部办公厅关于做好2022年农作物秸秆综合利用工作的通知</w:t>
                  </w:r>
                </w:p>
              </w:tc>
              <w:tc>
                <w:tcPr>
                  <w:tcW w:w="3367" w:type="dxa"/>
                  <w:noWrap w:val="0"/>
                  <w:vAlign w:val="center"/>
                </w:tcPr>
                <w:p w14:paraId="6227B602">
                  <w:pPr>
                    <w:spacing w:line="240" w:lineRule="auto"/>
                    <w:jc w:val="both"/>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（一）完善秸秆综合利用方式。结合资源禀赋和农业农村发展需求等，推进适用的秸秆利用方式，促进秸秆利用产业结构优化和提质增效。</w:t>
                  </w:r>
                </w:p>
                <w:p w14:paraId="71DF349D">
                  <w:pPr>
                    <w:spacing w:line="240" w:lineRule="auto"/>
                    <w:jc w:val="both"/>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推进秸秆变肥料还田，提升耕地质量。因地制宜示范推广秸秆科学还田适用技术，形成适应机械化生产、助力后茬作物稳产优质的秸秆还田规程，推进秸秆就近就地轻简化科学还田，提高土壤钾素利用率，促进农田土壤固碳增汇，巩固提升土地综合生产能力。</w:t>
                  </w:r>
                </w:p>
              </w:tc>
              <w:tc>
                <w:tcPr>
                  <w:tcW w:w="2340" w:type="dxa"/>
                  <w:noWrap w:val="0"/>
                  <w:vAlign w:val="center"/>
                </w:tcPr>
                <w:p w14:paraId="2C9DEF50">
                  <w:pPr>
                    <w:adjustRightInd w:val="0"/>
                    <w:snapToGrid w:val="0"/>
                    <w:spacing w:line="240" w:lineRule="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本项目的秸秆经粉碎后综合利用，与畜禽粪便一起发酵后制成有机肥</w:t>
                  </w:r>
                </w:p>
              </w:tc>
              <w:tc>
                <w:tcPr>
                  <w:tcW w:w="1080" w:type="dxa"/>
                  <w:noWrap w:val="0"/>
                  <w:vAlign w:val="center"/>
                </w:tcPr>
                <w:p w14:paraId="4F55396F">
                  <w:pPr>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符合</w:t>
                  </w:r>
                </w:p>
              </w:tc>
            </w:tr>
            <w:tr w14:paraId="0AF79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restart"/>
                  <w:noWrap w:val="0"/>
                  <w:vAlign w:val="center"/>
                </w:tcPr>
                <w:p w14:paraId="2F7A8F44">
                  <w:pPr>
                    <w:spacing w:line="240" w:lineRule="auto"/>
                    <w:jc w:val="center"/>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《畜禽粪便堆肥技术规范》</w:t>
                  </w:r>
                </w:p>
              </w:tc>
              <w:tc>
                <w:tcPr>
                  <w:tcW w:w="3367" w:type="dxa"/>
                  <w:noWrap w:val="0"/>
                  <w:vAlign w:val="center"/>
                </w:tcPr>
                <w:p w14:paraId="608F501D">
                  <w:pPr>
                    <w:adjustRightInd w:val="0"/>
                    <w:snapToGrid w:val="0"/>
                    <w:spacing w:line="240" w:lineRule="auto"/>
                    <w:jc w:val="left"/>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14:textFill>
                        <w14:solidFill>
                          <w14:schemeClr w14:val="tx1"/>
                        </w14:solidFill>
                      </w14:textFill>
                    </w:rPr>
                    <w:t>发酵场地应配备防雨和排水设施。堆肥过程中产生的渗滤液应收集储存，防止渗滤液渗漏。</w:t>
                  </w:r>
                </w:p>
              </w:tc>
              <w:tc>
                <w:tcPr>
                  <w:tcW w:w="2340" w:type="dxa"/>
                  <w:noWrap w:val="0"/>
                  <w:vAlign w:val="center"/>
                </w:tcPr>
                <w:p w14:paraId="49FD9215">
                  <w:pPr>
                    <w:adjustRightInd w:val="0"/>
                    <w:snapToGrid w:val="0"/>
                    <w:spacing w:line="240" w:lineRule="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本项目发酵场地为封闭钢结构厂房，并且有完善的排水系统，专门设置了渗滤液池。</w:t>
                  </w:r>
                </w:p>
              </w:tc>
              <w:tc>
                <w:tcPr>
                  <w:tcW w:w="1080" w:type="dxa"/>
                  <w:noWrap w:val="0"/>
                  <w:vAlign w:val="center"/>
                </w:tcPr>
                <w:p w14:paraId="14CAEB70">
                  <w:pPr>
                    <w:adjustRightInd w:val="0"/>
                    <w:snapToGrid w:val="0"/>
                    <w:spacing w:line="240" w:lineRule="auto"/>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符合</w:t>
                  </w:r>
                </w:p>
              </w:tc>
            </w:tr>
            <w:tr w14:paraId="31F80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continue"/>
                  <w:noWrap w:val="0"/>
                  <w:vAlign w:val="center"/>
                </w:tcPr>
                <w:p w14:paraId="3777EC96">
                  <w:pPr>
                    <w:spacing w:line="240" w:lineRule="auto"/>
                    <w:jc w:val="center"/>
                    <w:rPr>
                      <w:rFonts w:hint="default" w:ascii="Times New Roman" w:hAnsi="Times New Roman" w:cs="Times New Roman"/>
                      <w:color w:val="000000" w:themeColor="text1"/>
                      <w:kern w:val="21"/>
                      <w:sz w:val="21"/>
                      <w:szCs w:val="21"/>
                      <w:lang w:val="en-US" w:eastAsia="zh-CN"/>
                      <w14:textFill>
                        <w14:solidFill>
                          <w14:schemeClr w14:val="tx1"/>
                        </w14:solidFill>
                      </w14:textFill>
                    </w:rPr>
                  </w:pPr>
                </w:p>
              </w:tc>
              <w:tc>
                <w:tcPr>
                  <w:tcW w:w="3367" w:type="dxa"/>
                  <w:noWrap w:val="0"/>
                  <w:vAlign w:val="center"/>
                </w:tcPr>
                <w:p w14:paraId="22837594">
                  <w:pPr>
                    <w:adjustRightInd w:val="0"/>
                    <w:snapToGrid w:val="0"/>
                    <w:spacing w:line="240" w:lineRule="auto"/>
                    <w:jc w:val="left"/>
                    <w:rPr>
                      <w:rFonts w:hint="eastAsia"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14:textFill>
                        <w14:solidFill>
                          <w14:schemeClr w14:val="tx1"/>
                        </w14:solidFill>
                      </w14:textFill>
                    </w:rPr>
                    <w:t>堆肥成品存储区应干燥、通风、防晒、防破裂、防雨淋</w:t>
                  </w:r>
                  <w:r>
                    <w:rPr>
                      <w:rFonts w:hint="eastAsia" w:cs="Times New Roman"/>
                      <w:bCs/>
                      <w:color w:val="000000" w:themeColor="text1"/>
                      <w:kern w:val="21"/>
                      <w:sz w:val="21"/>
                      <w:szCs w:val="21"/>
                      <w:lang w:eastAsia="zh-CN"/>
                      <w14:textFill>
                        <w14:solidFill>
                          <w14:schemeClr w14:val="tx1"/>
                        </w14:solidFill>
                      </w14:textFill>
                    </w:rPr>
                    <w:t>。</w:t>
                  </w:r>
                </w:p>
              </w:tc>
              <w:tc>
                <w:tcPr>
                  <w:tcW w:w="2340" w:type="dxa"/>
                  <w:noWrap w:val="0"/>
                  <w:vAlign w:val="center"/>
                </w:tcPr>
                <w:p w14:paraId="4E13C819">
                  <w:pPr>
                    <w:adjustRightInd w:val="0"/>
                    <w:snapToGrid w:val="0"/>
                    <w:spacing w:line="240" w:lineRule="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本项目成品贮存间为钢结构厂房，可以达到</w:t>
                  </w:r>
                  <w:r>
                    <w:rPr>
                      <w:rFonts w:hint="default" w:ascii="Times New Roman" w:hAnsi="Times New Roman" w:cs="Times New Roman"/>
                      <w:bCs/>
                      <w:color w:val="000000" w:themeColor="text1"/>
                      <w:kern w:val="21"/>
                      <w:sz w:val="21"/>
                      <w:szCs w:val="21"/>
                      <w14:textFill>
                        <w14:solidFill>
                          <w14:schemeClr w14:val="tx1"/>
                        </w14:solidFill>
                      </w14:textFill>
                    </w:rPr>
                    <w:t>干燥、通风、防晒、防破裂、防雨淋</w:t>
                  </w: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的要求</w:t>
                  </w:r>
                  <w:r>
                    <w:rPr>
                      <w:rFonts w:hint="eastAsia" w:cs="Times New Roman"/>
                      <w:bCs/>
                      <w:color w:val="000000" w:themeColor="text1"/>
                      <w:kern w:val="21"/>
                      <w:sz w:val="21"/>
                      <w:szCs w:val="21"/>
                      <w:lang w:val="en-US" w:eastAsia="zh-CN"/>
                      <w14:textFill>
                        <w14:solidFill>
                          <w14:schemeClr w14:val="tx1"/>
                        </w14:solidFill>
                      </w14:textFill>
                    </w:rPr>
                    <w:t>。</w:t>
                  </w:r>
                </w:p>
              </w:tc>
              <w:tc>
                <w:tcPr>
                  <w:tcW w:w="1080" w:type="dxa"/>
                  <w:noWrap w:val="0"/>
                  <w:vAlign w:val="center"/>
                </w:tcPr>
                <w:p w14:paraId="635187E3">
                  <w:pPr>
                    <w:adjustRightInd w:val="0"/>
                    <w:snapToGrid w:val="0"/>
                    <w:spacing w:line="240" w:lineRule="auto"/>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符合</w:t>
                  </w:r>
                </w:p>
              </w:tc>
            </w:tr>
            <w:tr w14:paraId="65D84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vMerge w:val="continue"/>
                  <w:noWrap w:val="0"/>
                  <w:vAlign w:val="center"/>
                </w:tcPr>
                <w:p w14:paraId="755A3405">
                  <w:pPr>
                    <w:spacing w:line="240" w:lineRule="auto"/>
                    <w:jc w:val="center"/>
                    <w:rPr>
                      <w:rFonts w:hint="default" w:ascii="Times New Roman" w:hAnsi="Times New Roman" w:cs="Times New Roman"/>
                      <w:color w:val="000000" w:themeColor="text1"/>
                      <w:kern w:val="21"/>
                      <w:sz w:val="21"/>
                      <w:szCs w:val="21"/>
                      <w:lang w:val="en-US" w:eastAsia="zh-CN"/>
                      <w14:textFill>
                        <w14:solidFill>
                          <w14:schemeClr w14:val="tx1"/>
                        </w14:solidFill>
                      </w14:textFill>
                    </w:rPr>
                  </w:pPr>
                </w:p>
              </w:tc>
              <w:tc>
                <w:tcPr>
                  <w:tcW w:w="3367" w:type="dxa"/>
                  <w:noWrap w:val="0"/>
                  <w:vAlign w:val="center"/>
                </w:tcPr>
                <w:p w14:paraId="7F6D59D6">
                  <w:pPr>
                    <w:adjustRightInd w:val="0"/>
                    <w:snapToGrid w:val="0"/>
                    <w:spacing w:line="240" w:lineRule="auto"/>
                    <w:jc w:val="left"/>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14:textFill>
                        <w14:solidFill>
                          <w14:schemeClr w14:val="tx1"/>
                        </w14:solidFill>
                      </w14:textFill>
                    </w:rPr>
                    <w:t>堆肥过程中产生的臭气应进行有效收集和处理，经处理后的恶臭气体浓度符合GB 18596的规定。</w:t>
                  </w:r>
                </w:p>
              </w:tc>
              <w:tc>
                <w:tcPr>
                  <w:tcW w:w="2340" w:type="dxa"/>
                  <w:noWrap w:val="0"/>
                  <w:vAlign w:val="center"/>
                </w:tcPr>
                <w:p w14:paraId="630FAD77">
                  <w:pPr>
                    <w:adjustRightInd w:val="0"/>
                    <w:snapToGrid w:val="0"/>
                    <w:spacing w:line="240" w:lineRule="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项目堆肥过程中产生的恶臭通过一体化生物除臭设备进行处理，经处理后的臭气浓度可以达到相关规定</w:t>
                  </w:r>
                  <w:r>
                    <w:rPr>
                      <w:rFonts w:hint="eastAsia" w:cs="Times New Roman"/>
                      <w:color w:val="000000" w:themeColor="text1"/>
                      <w:kern w:val="21"/>
                      <w:sz w:val="21"/>
                      <w:szCs w:val="21"/>
                      <w:lang w:val="en-US" w:eastAsia="zh-CN"/>
                      <w14:textFill>
                        <w14:solidFill>
                          <w14:schemeClr w14:val="tx1"/>
                        </w14:solidFill>
                      </w14:textFill>
                    </w:rPr>
                    <w:t>。</w:t>
                  </w:r>
                </w:p>
              </w:tc>
              <w:tc>
                <w:tcPr>
                  <w:tcW w:w="1080" w:type="dxa"/>
                  <w:noWrap w:val="0"/>
                  <w:vAlign w:val="center"/>
                </w:tcPr>
                <w:p w14:paraId="51E7E01E">
                  <w:pPr>
                    <w:adjustRightInd w:val="0"/>
                    <w:snapToGrid w:val="0"/>
                    <w:spacing w:line="240" w:lineRule="auto"/>
                    <w:jc w:val="center"/>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1"/>
                      <w:sz w:val="21"/>
                      <w:szCs w:val="21"/>
                      <w:lang w:val="en-US" w:eastAsia="zh-CN"/>
                      <w14:textFill>
                        <w14:solidFill>
                          <w14:schemeClr w14:val="tx1"/>
                        </w14:solidFill>
                      </w14:textFill>
                    </w:rPr>
                    <w:t>符合</w:t>
                  </w:r>
                </w:p>
              </w:tc>
            </w:tr>
            <w:tr w14:paraId="4BFCF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1491" w:type="dxa"/>
                  <w:noWrap w:val="0"/>
                  <w:vAlign w:val="center"/>
                </w:tcPr>
                <w:p w14:paraId="7A1CE4ED">
                  <w:pPr>
                    <w:adjustRightInd w:val="0"/>
                    <w:snapToGrid w:val="0"/>
                    <w:spacing w:line="240" w:lineRule="auto"/>
                    <w:jc w:val="left"/>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eastAsia"/>
                      <w:bCs/>
                      <w:color w:val="000000" w:themeColor="text1"/>
                      <w:kern w:val="21"/>
                      <w:sz w:val="21"/>
                      <w:szCs w:val="21"/>
                      <w14:textFill>
                        <w14:solidFill>
                          <w14:schemeClr w14:val="tx1"/>
                        </w14:solidFill>
                      </w14:textFill>
                    </w:rPr>
                    <w:t>陕西省农业农村厅关于印发《陕西省“十四五”畜牧兽医发展规划》的通知</w:t>
                  </w:r>
                </w:p>
              </w:tc>
              <w:tc>
                <w:tcPr>
                  <w:tcW w:w="3367" w:type="dxa"/>
                  <w:noWrap w:val="0"/>
                  <w:vAlign w:val="center"/>
                </w:tcPr>
                <w:p w14:paraId="6EE7E758">
                  <w:pPr>
                    <w:adjustRightInd w:val="0"/>
                    <w:snapToGrid w:val="0"/>
                    <w:spacing w:line="240" w:lineRule="auto"/>
                    <w:jc w:val="left"/>
                    <w:rPr>
                      <w:rFonts w:hint="default" w:ascii="Times New Roman" w:hAnsi="Times New Roman" w:eastAsia="宋体" w:cs="Times New Roman"/>
                      <w:bCs/>
                      <w:color w:val="000000" w:themeColor="text1"/>
                      <w:kern w:val="21"/>
                      <w:sz w:val="21"/>
                      <w:szCs w:val="21"/>
                      <w:lang w:val="en-US" w:eastAsia="zh-CN" w:bidi="ar-SA"/>
                      <w14:textFill>
                        <w14:solidFill>
                          <w14:schemeClr w14:val="tx1"/>
                        </w14:solidFill>
                      </w14:textFill>
                    </w:rPr>
                  </w:pPr>
                  <w:r>
                    <w:rPr>
                      <w:rFonts w:hint="eastAsia"/>
                      <w:bCs/>
                      <w:color w:val="000000" w:themeColor="text1"/>
                      <w:kern w:val="21"/>
                      <w:sz w:val="21"/>
                      <w:szCs w:val="21"/>
                      <w:lang w:val="en-US" w:eastAsia="zh-CN"/>
                      <w14:textFill>
                        <w14:solidFill>
                          <w14:schemeClr w14:val="tx1"/>
                        </w14:solidFill>
                      </w14:textFill>
                    </w:rPr>
                    <w:t>第六章保障措施第三节</w:t>
                  </w:r>
                  <w:r>
                    <w:rPr>
                      <w:rFonts w:hint="eastAsia"/>
                      <w:bCs/>
                      <w:color w:val="000000" w:themeColor="text1"/>
                      <w:kern w:val="21"/>
                      <w:sz w:val="21"/>
                      <w:szCs w:val="21"/>
                      <w14:textFill>
                        <w14:solidFill>
                          <w14:schemeClr w14:val="tx1"/>
                        </w14:solidFill>
                      </w14:textFill>
                    </w:rPr>
                    <w:t>落实用地政策县级政府要按照畜牧业发展规划目标，结合国土空间规划编制，在确保当地耕地保护红线安全前提下，统筹支持解决畜禽养殖用地需求。养殖生产及其直接关联的检验检疫、清洗消毒、畜禽粪污处理、病死畜禽无害化处理等农业设施用地，可以使用一般耕地，不需占补平衡。</w:t>
                  </w:r>
                </w:p>
              </w:tc>
              <w:tc>
                <w:tcPr>
                  <w:tcW w:w="2340" w:type="dxa"/>
                  <w:noWrap w:val="0"/>
                  <w:vAlign w:val="center"/>
                </w:tcPr>
                <w:p w14:paraId="5923FEAE">
                  <w:pPr>
                    <w:adjustRightInd w:val="0"/>
                    <w:snapToGrid w:val="0"/>
                    <w:spacing w:line="240" w:lineRule="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eastAsia" w:cs="Times New Roman"/>
                      <w:color w:val="000000" w:themeColor="text1"/>
                      <w:kern w:val="21"/>
                      <w:sz w:val="21"/>
                      <w:szCs w:val="21"/>
                      <w:lang w:val="en-US" w:eastAsia="zh-CN"/>
                      <w14:textFill>
                        <w14:solidFill>
                          <w14:schemeClr w14:val="tx1"/>
                        </w14:solidFill>
                      </w14:textFill>
                    </w:rPr>
                    <w:t>本项目属于畜禽粪污处理，项目属于畜牧兽医发展的保障措施，项目用地为建设用地。</w:t>
                  </w:r>
                </w:p>
              </w:tc>
              <w:tc>
                <w:tcPr>
                  <w:tcW w:w="1080" w:type="dxa"/>
                  <w:noWrap w:val="0"/>
                  <w:vAlign w:val="center"/>
                </w:tcPr>
                <w:p w14:paraId="4D9713D4">
                  <w:pPr>
                    <w:adjustRightInd w:val="0"/>
                    <w:snapToGrid w:val="0"/>
                    <w:spacing w:line="240" w:lineRule="auto"/>
                    <w:jc w:val="center"/>
                    <w:rPr>
                      <w:rFonts w:hint="default" w:ascii="Times New Roman" w:hAnsi="Times New Roman"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1441A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noWrap w:val="0"/>
                  <w:vAlign w:val="center"/>
                </w:tcPr>
                <w:p w14:paraId="2D2CEAF2">
                  <w:pPr>
                    <w:adjustRightInd w:val="0"/>
                    <w:snapToGrid w:val="0"/>
                    <w:spacing w:line="240" w:lineRule="auto"/>
                    <w:jc w:val="left"/>
                    <w:rPr>
                      <w:rFonts w:hint="default"/>
                      <w:bCs/>
                      <w:color w:val="000000" w:themeColor="text1"/>
                      <w:kern w:val="21"/>
                      <w:sz w:val="21"/>
                      <w:szCs w:val="21"/>
                      <w:lang w:val="en-US" w:eastAsia="zh-CN"/>
                      <w14:textFill>
                        <w14:solidFill>
                          <w14:schemeClr w14:val="tx1"/>
                        </w14:solidFill>
                      </w14:textFill>
                    </w:rPr>
                  </w:pPr>
                  <w:r>
                    <w:rPr>
                      <w:rFonts w:hint="eastAsia"/>
                      <w:bCs/>
                      <w:color w:val="000000" w:themeColor="text1"/>
                      <w:kern w:val="21"/>
                      <w:sz w:val="21"/>
                      <w:szCs w:val="21"/>
                      <w14:textFill>
                        <w14:solidFill>
                          <w14:schemeClr w14:val="tx1"/>
                        </w14:solidFill>
                      </w14:textFill>
                    </w:rPr>
                    <w:t>中国人民政治协商会议陕西省十二届委员会第四次会议提案第1037号</w:t>
                  </w:r>
                  <w:r>
                    <w:rPr>
                      <w:rFonts w:hint="eastAsia"/>
                      <w:bCs/>
                      <w:color w:val="000000" w:themeColor="text1"/>
                      <w:kern w:val="21"/>
                      <w:sz w:val="21"/>
                      <w:szCs w:val="21"/>
                      <w:lang w:eastAsia="zh-CN"/>
                      <w14:textFill>
                        <w14:solidFill>
                          <w14:schemeClr w14:val="tx1"/>
                        </w14:solidFill>
                      </w14:textFill>
                    </w:rPr>
                    <w:t>《</w:t>
                  </w:r>
                  <w:r>
                    <w:rPr>
                      <w:rFonts w:hint="eastAsia"/>
                      <w:bCs/>
                      <w:color w:val="000000" w:themeColor="text1"/>
                      <w:kern w:val="21"/>
                      <w:sz w:val="21"/>
                      <w:szCs w:val="21"/>
                      <w14:textFill>
                        <w14:solidFill>
                          <w14:schemeClr w14:val="tx1"/>
                        </w14:solidFill>
                      </w14:textFill>
                    </w:rPr>
                    <w:t>推进养殖粪污资源化利用促进县域经济绿色高质量发展</w:t>
                  </w:r>
                  <w:r>
                    <w:rPr>
                      <w:rFonts w:hint="eastAsia"/>
                      <w:bCs/>
                      <w:color w:val="000000" w:themeColor="text1"/>
                      <w:kern w:val="21"/>
                      <w:sz w:val="21"/>
                      <w:szCs w:val="21"/>
                      <w:lang w:eastAsia="zh-CN"/>
                      <w14:textFill>
                        <w14:solidFill>
                          <w14:schemeClr w14:val="tx1"/>
                        </w14:solidFill>
                      </w14:textFill>
                    </w:rPr>
                    <w:t>》</w:t>
                  </w:r>
                </w:p>
              </w:tc>
              <w:tc>
                <w:tcPr>
                  <w:tcW w:w="3367" w:type="dxa"/>
                  <w:noWrap w:val="0"/>
                  <w:vAlign w:val="center"/>
                </w:tcPr>
                <w:p w14:paraId="21BB8CF5">
                  <w:pPr>
                    <w:adjustRightInd w:val="0"/>
                    <w:snapToGrid w:val="0"/>
                    <w:spacing w:line="240" w:lineRule="auto"/>
                    <w:jc w:val="left"/>
                    <w:rPr>
                      <w:rFonts w:hint="default"/>
                      <w:bCs/>
                      <w:color w:val="000000" w:themeColor="text1"/>
                      <w:kern w:val="21"/>
                      <w:sz w:val="21"/>
                      <w:szCs w:val="21"/>
                      <w:lang w:val="en-US" w:eastAsia="zh-CN"/>
                      <w14:textFill>
                        <w14:solidFill>
                          <w14:schemeClr w14:val="tx1"/>
                        </w14:solidFill>
                      </w14:textFill>
                    </w:rPr>
                  </w:pPr>
                  <w:r>
                    <w:rPr>
                      <w:rFonts w:hint="eastAsia"/>
                      <w:bCs/>
                      <w:color w:val="000000" w:themeColor="text1"/>
                      <w:kern w:val="21"/>
                      <w:sz w:val="21"/>
                      <w:szCs w:val="21"/>
                      <w14:textFill>
                        <w14:solidFill>
                          <w14:schemeClr w14:val="tx1"/>
                        </w14:solidFill>
                      </w14:textFill>
                    </w:rPr>
                    <w:t>二是推进养殖粪污和农业废弃物协同处理与利用。养殖粪污、农业废弃物既可以生产成有机肥，也可以利用先进技术生产成生物质燃料。对养殖粪污、农业废弃物协同处理与利用，既能解决养殖粪污与有机肥使用的季节性冲突，也可以通过生物质燃料的工业化利用替代煤炭使用量、减少碳排放。</w:t>
                  </w:r>
                </w:p>
              </w:tc>
              <w:tc>
                <w:tcPr>
                  <w:tcW w:w="2340" w:type="dxa"/>
                  <w:noWrap w:val="0"/>
                  <w:vAlign w:val="center"/>
                </w:tcPr>
                <w:p w14:paraId="58420DDC">
                  <w:pPr>
                    <w:adjustRightInd w:val="0"/>
                    <w:snapToGrid w:val="0"/>
                    <w:spacing w:line="240" w:lineRule="auto"/>
                    <w:jc w:val="left"/>
                    <w:rPr>
                      <w:rFonts w:hint="default"/>
                      <w:bCs/>
                      <w:color w:val="000000" w:themeColor="text1"/>
                      <w:kern w:val="21"/>
                      <w:sz w:val="21"/>
                      <w:szCs w:val="21"/>
                      <w:lang w:val="en-US" w:eastAsia="zh-CN"/>
                      <w14:textFill>
                        <w14:solidFill>
                          <w14:schemeClr w14:val="tx1"/>
                        </w14:solidFill>
                      </w14:textFill>
                    </w:rPr>
                  </w:pPr>
                  <w:r>
                    <w:rPr>
                      <w:rFonts w:hint="eastAsia"/>
                      <w:bCs/>
                      <w:color w:val="000000" w:themeColor="text1"/>
                      <w:kern w:val="21"/>
                      <w:sz w:val="21"/>
                      <w:szCs w:val="21"/>
                      <w:lang w:val="en-US" w:eastAsia="zh-CN"/>
                      <w14:textFill>
                        <w14:solidFill>
                          <w14:schemeClr w14:val="tx1"/>
                        </w14:solidFill>
                      </w14:textFill>
                    </w:rPr>
                    <w:t>本项目属于利用养殖粪污和农业废弃物生产有机肥的项目。</w:t>
                  </w:r>
                </w:p>
              </w:tc>
              <w:tc>
                <w:tcPr>
                  <w:tcW w:w="1080" w:type="dxa"/>
                  <w:noWrap w:val="0"/>
                  <w:vAlign w:val="center"/>
                </w:tcPr>
                <w:p w14:paraId="55A4033C">
                  <w:pPr>
                    <w:adjustRightInd w:val="0"/>
                    <w:snapToGrid w:val="0"/>
                    <w:spacing w:line="240" w:lineRule="auto"/>
                    <w:jc w:val="center"/>
                    <w:rPr>
                      <w:rFonts w:hint="default" w:ascii="Times New Roman" w:hAnsi="Times New Roman"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7D041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noWrap w:val="0"/>
                  <w:vAlign w:val="center"/>
                </w:tcPr>
                <w:p w14:paraId="7F3C4372">
                  <w:pPr>
                    <w:adjustRightInd w:val="0"/>
                    <w:snapToGrid w:val="0"/>
                    <w:spacing w:line="240" w:lineRule="auto"/>
                    <w:jc w:val="left"/>
                    <w:rPr>
                      <w:rFonts w:hint="eastAsia"/>
                      <w:bCs/>
                      <w:color w:val="000000" w:themeColor="text1"/>
                      <w:kern w:val="21"/>
                      <w:sz w:val="21"/>
                      <w:szCs w:val="21"/>
                      <w:lang w:eastAsia="zh-CN"/>
                      <w14:textFill>
                        <w14:solidFill>
                          <w14:schemeClr w14:val="tx1"/>
                        </w14:solidFill>
                      </w14:textFill>
                    </w:rPr>
                  </w:pPr>
                  <w:r>
                    <w:rPr>
                      <w:rFonts w:hint="eastAsia"/>
                      <w:bCs/>
                      <w:color w:val="000000" w:themeColor="text1"/>
                      <w:kern w:val="21"/>
                      <w:sz w:val="21"/>
                      <w:szCs w:val="21"/>
                      <w:lang w:eastAsia="zh-CN"/>
                      <w14:textFill>
                        <w14:solidFill>
                          <w14:schemeClr w14:val="tx1"/>
                        </w14:solidFill>
                      </w14:textFill>
                    </w:rPr>
                    <w:t>农业农村部办公厅生态环境部办公厅关于进一步明确畜禽粪污还田利用要求强化养殖污染监管的通知（农办牧〔2020〕23号）</w:t>
                  </w:r>
                </w:p>
              </w:tc>
              <w:tc>
                <w:tcPr>
                  <w:tcW w:w="3367" w:type="dxa"/>
                  <w:noWrap w:val="0"/>
                  <w:vAlign w:val="center"/>
                </w:tcPr>
                <w:p w14:paraId="03D6BB8A">
                  <w:pPr>
                    <w:adjustRightInd w:val="0"/>
                    <w:snapToGrid w:val="0"/>
                    <w:spacing w:line="240" w:lineRule="auto"/>
                    <w:jc w:val="left"/>
                    <w:rPr>
                      <w:rFonts w:hint="eastAsia" w:eastAsia="宋体"/>
                      <w:bCs/>
                      <w:color w:val="000000" w:themeColor="text1"/>
                      <w:kern w:val="21"/>
                      <w:sz w:val="21"/>
                      <w:szCs w:val="21"/>
                      <w:lang w:eastAsia="zh-CN"/>
                      <w14:textFill>
                        <w14:solidFill>
                          <w14:schemeClr w14:val="tx1"/>
                        </w14:solidFill>
                      </w14:textFill>
                    </w:rPr>
                  </w:pPr>
                  <w:r>
                    <w:rPr>
                      <w:rFonts w:hint="eastAsia"/>
                      <w:bCs/>
                      <w:color w:val="000000" w:themeColor="text1"/>
                      <w:kern w:val="21"/>
                      <w:sz w:val="21"/>
                      <w:szCs w:val="21"/>
                      <w14:textFill>
                        <w14:solidFill>
                          <w14:schemeClr w14:val="tx1"/>
                        </w14:solidFill>
                      </w14:textFill>
                    </w:rPr>
                    <w:t>（一）鼓励畜禽粪污还田利用。国家支持畜禽养殖场户建设畜禽粪污无害化处理和资源化利用设施，鼓励采取粪肥还田、制取沼气、生产有机肥等方式进行资源化利用</w:t>
                  </w:r>
                  <w:r>
                    <w:rPr>
                      <w:rFonts w:hint="eastAsia"/>
                      <w:bCs/>
                      <w:color w:val="000000" w:themeColor="text1"/>
                      <w:kern w:val="21"/>
                      <w:sz w:val="21"/>
                      <w:szCs w:val="21"/>
                      <w:lang w:eastAsia="zh-CN"/>
                      <w14:textFill>
                        <w14:solidFill>
                          <w14:schemeClr w14:val="tx1"/>
                        </w14:solidFill>
                      </w14:textFill>
                    </w:rPr>
                    <w:t>。</w:t>
                  </w:r>
                </w:p>
              </w:tc>
              <w:tc>
                <w:tcPr>
                  <w:tcW w:w="2340" w:type="dxa"/>
                  <w:noWrap w:val="0"/>
                  <w:vAlign w:val="center"/>
                </w:tcPr>
                <w:p w14:paraId="1F3A3A0B">
                  <w:pPr>
                    <w:adjustRightInd w:val="0"/>
                    <w:snapToGrid w:val="0"/>
                    <w:spacing w:line="240" w:lineRule="auto"/>
                    <w:jc w:val="left"/>
                    <w:rPr>
                      <w:rFonts w:hint="default"/>
                      <w:bCs/>
                      <w:color w:val="000000" w:themeColor="text1"/>
                      <w:kern w:val="21"/>
                      <w:sz w:val="21"/>
                      <w:szCs w:val="21"/>
                      <w:lang w:val="en-US" w:eastAsia="zh-CN"/>
                      <w14:textFill>
                        <w14:solidFill>
                          <w14:schemeClr w14:val="tx1"/>
                        </w14:solidFill>
                      </w14:textFill>
                    </w:rPr>
                  </w:pPr>
                  <w:r>
                    <w:rPr>
                      <w:rFonts w:hint="eastAsia"/>
                      <w:bCs/>
                      <w:color w:val="000000" w:themeColor="text1"/>
                      <w:kern w:val="21"/>
                      <w:sz w:val="21"/>
                      <w:szCs w:val="21"/>
                      <w:lang w:val="en-US" w:eastAsia="zh-CN"/>
                      <w14:textFill>
                        <w14:solidFill>
                          <w14:schemeClr w14:val="tx1"/>
                        </w14:solidFill>
                      </w14:textFill>
                    </w:rPr>
                    <w:t>本项目属于肥料制造，将畜禽养殖粪便收集后生产有机肥，进行资源化利用。</w:t>
                  </w:r>
                </w:p>
              </w:tc>
              <w:tc>
                <w:tcPr>
                  <w:tcW w:w="1080" w:type="dxa"/>
                  <w:noWrap w:val="0"/>
                  <w:vAlign w:val="center"/>
                </w:tcPr>
                <w:p w14:paraId="3969E5AB">
                  <w:pPr>
                    <w:adjustRightInd w:val="0"/>
                    <w:snapToGrid w:val="0"/>
                    <w:spacing w:line="240" w:lineRule="auto"/>
                    <w:jc w:val="center"/>
                    <w:rPr>
                      <w:rFonts w:hint="default"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186C5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noWrap w:val="0"/>
                  <w:vAlign w:val="center"/>
                </w:tcPr>
                <w:p w14:paraId="10C56B8B">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宝鸡市生态环境局关于转发《宝鸡市工业和信息化局关于明确新建化工项目准入条件的函》的通知</w:t>
                  </w:r>
                  <w:r>
                    <w:rPr>
                      <w:rFonts w:hint="eastAsia" w:cs="Times New Roman"/>
                      <w:color w:val="000000" w:themeColor="text1"/>
                      <w:sz w:val="21"/>
                      <w:szCs w:val="21"/>
                      <w:lang w:val="en-US" w:eastAsia="zh-CN"/>
                      <w14:textFill>
                        <w14:solidFill>
                          <w14:schemeClr w14:val="tx1"/>
                        </w14:solidFill>
                      </w14:textFill>
                    </w:rPr>
                    <w:t>宝市环函〔2021〕114号</w:t>
                  </w:r>
                </w:p>
              </w:tc>
              <w:tc>
                <w:tcPr>
                  <w:tcW w:w="3367" w:type="dxa"/>
                  <w:noWrap w:val="0"/>
                  <w:vAlign w:val="center"/>
                </w:tcPr>
                <w:p w14:paraId="20D64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cs="Times New Roman"/>
                      <w:i w:val="0"/>
                      <w:iCs w:val="0"/>
                      <w:caps w:val="0"/>
                      <w:color w:val="000000" w:themeColor="text1"/>
                      <w:spacing w:val="0"/>
                      <w:sz w:val="21"/>
                      <w:szCs w:val="21"/>
                      <w:shd w:val="clear" w:fill="FFFFFF"/>
                      <w:lang w:val="en-US" w:eastAsia="zh-CN"/>
                      <w14:textFill>
                        <w14:solidFill>
                          <w14:schemeClr w14:val="tx1"/>
                        </w14:solidFill>
                      </w14:textFill>
                    </w:rPr>
                    <w:t>一、新建化工项目必须进入化工园区，需符合当地总体发展规划和拟进入化工园区规划的相关要求</w:t>
                  </w:r>
                </w:p>
              </w:tc>
              <w:tc>
                <w:tcPr>
                  <w:tcW w:w="2340" w:type="dxa"/>
                  <w:noWrap w:val="0"/>
                  <w:vAlign w:val="center"/>
                </w:tcPr>
                <w:p w14:paraId="2EBCF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宝市安办发〔2021〕126号</w:t>
                  </w:r>
                  <w:r>
                    <w:rPr>
                      <w:rFonts w:hint="eastAsia" w:cs="Times New Roman"/>
                      <w:color w:val="000000" w:themeColor="text1"/>
                      <w:kern w:val="2"/>
                      <w:sz w:val="21"/>
                      <w:szCs w:val="24"/>
                      <w:lang w:val="en-US" w:eastAsia="zh-CN" w:bidi="ar-SA"/>
                      <w14:textFill>
                        <w14:solidFill>
                          <w14:schemeClr w14:val="tx1"/>
                        </w14:solidFill>
                      </w14:textFill>
                    </w:rPr>
                    <w:t>文件中对化工项目的定义，本项目原辅材料不涉及化学原料，最终产品不是危险化学品且生产工艺中不存在化学反应，</w:t>
                  </w:r>
                  <w:r>
                    <w:rPr>
                      <w:rFonts w:hint="eastAsia" w:cs="Times New Roman"/>
                      <w:color w:val="000000" w:themeColor="text1"/>
                      <w:sz w:val="21"/>
                      <w:szCs w:val="21"/>
                      <w:lang w:val="en-US" w:eastAsia="zh-CN"/>
                      <w14:textFill>
                        <w14:solidFill>
                          <w14:schemeClr w14:val="tx1"/>
                        </w14:solidFill>
                      </w14:textFill>
                    </w:rPr>
                    <w:t>本项目不属于要求入园的化工项目</w:t>
                  </w:r>
                </w:p>
              </w:tc>
              <w:tc>
                <w:tcPr>
                  <w:tcW w:w="1080" w:type="dxa"/>
                  <w:noWrap w:val="0"/>
                  <w:vAlign w:val="center"/>
                </w:tcPr>
                <w:p w14:paraId="428F00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0163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1" w:type="dxa"/>
                  <w:noWrap w:val="0"/>
                  <w:vAlign w:val="center"/>
                </w:tcPr>
                <w:p w14:paraId="65D3F6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宝鸡市安全生产委员会办公室关于印发《宝鸡市新建化工项目安全准入条件（试行）》的通知</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宝市安办发〔2021〕126号</w:t>
                  </w:r>
                </w:p>
              </w:tc>
              <w:tc>
                <w:tcPr>
                  <w:tcW w:w="3367" w:type="dxa"/>
                  <w:noWrap w:val="0"/>
                  <w:vAlign w:val="center"/>
                </w:tcPr>
                <w:p w14:paraId="134DF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本《准入条件》所指的化工项目是指主要原辅料为化学原料、最终产品为危险化学品且生产工艺中存在化学反应的项目。</w:t>
                  </w:r>
                </w:p>
              </w:tc>
              <w:tc>
                <w:tcPr>
                  <w:tcW w:w="2340" w:type="dxa"/>
                  <w:noWrap w:val="0"/>
                  <w:vAlign w:val="center"/>
                </w:tcPr>
                <w:p w14:paraId="74E60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本项目原辅材料</w:t>
                  </w:r>
                  <w:r>
                    <w:rPr>
                      <w:rFonts w:hint="eastAsia" w:ascii="Times New Roman" w:hAnsi="Times New Roman" w:eastAsia="宋体" w:cs="Times New Roman"/>
                      <w:color w:val="000000" w:themeColor="text1"/>
                      <w:lang w:val="en-US" w:eastAsia="zh-CN"/>
                      <w14:textFill>
                        <w14:solidFill>
                          <w14:schemeClr w14:val="tx1"/>
                        </w14:solidFill>
                      </w14:textFill>
                    </w:rPr>
                    <w:t>不</w:t>
                  </w:r>
                  <w:r>
                    <w:rPr>
                      <w:rFonts w:hint="default" w:ascii="Times New Roman" w:hAnsi="Times New Roman" w:eastAsia="宋体" w:cs="Times New Roman"/>
                      <w:color w:val="000000" w:themeColor="text1"/>
                      <w:lang w:val="en-US" w:eastAsia="zh-CN"/>
                      <w14:textFill>
                        <w14:solidFill>
                          <w14:schemeClr w14:val="tx1"/>
                        </w14:solidFill>
                      </w14:textFill>
                    </w:rPr>
                    <w:t>涉及化学原料，最终产品不是危险化学品且生产工艺中不存在化学反应</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本项目不属于该文件中要</w:t>
                  </w:r>
                  <w:r>
                    <w:rPr>
                      <w:rFonts w:hint="eastAsia" w:cs="Times New Roman"/>
                      <w:color w:val="000000" w:themeColor="text1"/>
                      <w:lang w:val="en-US" w:eastAsia="zh-CN"/>
                      <w14:textFill>
                        <w14:solidFill>
                          <w14:schemeClr w14:val="tx1"/>
                        </w14:solidFill>
                      </w14:textFill>
                    </w:rPr>
                    <w:t>求进</w:t>
                  </w:r>
                  <w:r>
                    <w:rPr>
                      <w:rFonts w:hint="default" w:ascii="Times New Roman" w:hAnsi="Times New Roman" w:eastAsia="宋体" w:cs="Times New Roman"/>
                      <w:color w:val="000000" w:themeColor="text1"/>
                      <w:lang w:val="en-US" w:eastAsia="zh-CN"/>
                      <w14:textFill>
                        <w14:solidFill>
                          <w14:schemeClr w14:val="tx1"/>
                        </w14:solidFill>
                      </w14:textFill>
                    </w:rPr>
                    <w:t>入化工园区的化工项目</w:t>
                  </w:r>
                  <w:r>
                    <w:rPr>
                      <w:rFonts w:hint="eastAsia" w:cs="Times New Roman"/>
                      <w:color w:val="000000" w:themeColor="text1"/>
                      <w:lang w:val="en-US" w:eastAsia="zh-CN"/>
                      <w14:textFill>
                        <w14:solidFill>
                          <w14:schemeClr w14:val="tx1"/>
                        </w14:solidFill>
                      </w14:textFill>
                    </w:rPr>
                    <w:t>。</w:t>
                  </w:r>
                </w:p>
              </w:tc>
              <w:tc>
                <w:tcPr>
                  <w:tcW w:w="1080" w:type="dxa"/>
                  <w:noWrap w:val="0"/>
                  <w:vAlign w:val="center"/>
                </w:tcPr>
                <w:p w14:paraId="312074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724DC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1491" w:type="dxa"/>
                  <w:vMerge w:val="restart"/>
                  <w:noWrap w:val="0"/>
                  <w:vAlign w:val="center"/>
                </w:tcPr>
                <w:p w14:paraId="376C9C1C">
                  <w:pPr>
                    <w:rPr>
                      <w:rFonts w:hint="default" w:ascii="Times New Roman" w:hAnsi="Times New Roman" w:cs="Times New Roman"/>
                      <w:color w:val="000000" w:themeColor="text1"/>
                      <w:lang w:val="en-US" w:eastAsia="zh-CN"/>
                      <w14:textFill>
                        <w14:solidFill>
                          <w14:schemeClr w14:val="tx1"/>
                        </w14:solidFill>
                      </w14:textFill>
                    </w:rPr>
                  </w:pPr>
                  <w:r>
                    <w:rPr>
                      <w:rFonts w:hint="eastAsia"/>
                      <w:color w:val="auto"/>
                    </w:rPr>
                    <w:t>《宝鸡市大气污染治理专项行动方案（</w:t>
                  </w:r>
                  <w:r>
                    <w:rPr>
                      <w:color w:val="auto"/>
                    </w:rPr>
                    <w:t>2023</w:t>
                  </w:r>
                  <w:r>
                    <w:rPr>
                      <w:rFonts w:hint="eastAsia"/>
                      <w:color w:val="auto"/>
                      <w:lang w:val="en-US" w:eastAsia="zh-CN"/>
                    </w:rPr>
                    <w:t>-</w:t>
                  </w:r>
                  <w:r>
                    <w:rPr>
                      <w:color w:val="auto"/>
                    </w:rPr>
                    <w:t>2027</w:t>
                  </w:r>
                  <w:r>
                    <w:rPr>
                      <w:rFonts w:hint="eastAsia"/>
                      <w:color w:val="auto"/>
                    </w:rPr>
                    <w:t>年）》</w:t>
                  </w:r>
                </w:p>
              </w:tc>
              <w:tc>
                <w:tcPr>
                  <w:tcW w:w="3367" w:type="dxa"/>
                  <w:noWrap w:val="0"/>
                  <w:vAlign w:val="center"/>
                </w:tcPr>
                <w:p w14:paraId="3C51EB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产业发展结构调整。严禁新增钢铁、焦化、水泥熟料、平板玻璃、电解铝、氧化铝、煤化工产能，合理控制煤制油气产能规模，严格新增炼油产能。</w:t>
                  </w:r>
                </w:p>
              </w:tc>
              <w:tc>
                <w:tcPr>
                  <w:tcW w:w="2340" w:type="dxa"/>
                  <w:noWrap w:val="0"/>
                  <w:vAlign w:val="center"/>
                </w:tcPr>
                <w:p w14:paraId="242DE892">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auto"/>
                    </w:rPr>
                    <w:t>本项目属于</w:t>
                  </w:r>
                  <w:r>
                    <w:rPr>
                      <w:rFonts w:hint="eastAsia"/>
                      <w:color w:val="auto"/>
                      <w:lang w:eastAsia="zh-CN"/>
                    </w:rPr>
                    <w:t>《产业结构调整指导目录（2024</w:t>
                  </w:r>
                  <w:r>
                    <w:rPr>
                      <w:rFonts w:hint="eastAsia"/>
                      <w:color w:val="auto"/>
                      <w:lang w:val="en-US" w:eastAsia="zh-CN"/>
                    </w:rPr>
                    <w:t>年本</w:t>
                  </w:r>
                  <w:r>
                    <w:rPr>
                      <w:rFonts w:hint="eastAsia"/>
                      <w:color w:val="auto"/>
                      <w:lang w:eastAsia="zh-CN"/>
                    </w:rPr>
                    <w:t>）》</w:t>
                  </w:r>
                  <w:r>
                    <w:rPr>
                      <w:rFonts w:hint="eastAsia"/>
                      <w:color w:val="auto"/>
                    </w:rPr>
                    <w:t>允许类项目</w:t>
                  </w:r>
                  <w:r>
                    <w:rPr>
                      <w:rFonts w:hint="eastAsia"/>
                      <w:color w:val="auto"/>
                      <w:lang w:eastAsia="zh-CN"/>
                    </w:rPr>
                    <w:t>，</w:t>
                  </w:r>
                  <w:r>
                    <w:rPr>
                      <w:rFonts w:hint="eastAsia"/>
                      <w:color w:val="auto"/>
                      <w:lang w:val="en-US" w:eastAsia="zh-CN"/>
                    </w:rPr>
                    <w:t>不涉及严禁行业。</w:t>
                  </w:r>
                </w:p>
              </w:tc>
              <w:tc>
                <w:tcPr>
                  <w:tcW w:w="1080" w:type="dxa"/>
                  <w:noWrap w:val="0"/>
                  <w:vAlign w:val="center"/>
                </w:tcPr>
                <w:p w14:paraId="2DB000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kern w:val="21"/>
                      <w:sz w:val="21"/>
                      <w:szCs w:val="2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4C954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1491" w:type="dxa"/>
                  <w:vMerge w:val="continue"/>
                  <w:noWrap w:val="0"/>
                  <w:vAlign w:val="center"/>
                </w:tcPr>
                <w:p w14:paraId="472230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367" w:type="dxa"/>
                  <w:noWrap w:val="0"/>
                  <w:vAlign w:val="center"/>
                </w:tcPr>
                <w:p w14:paraId="73453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市辖区及开发区新、改、扩建涉气重点行业企业应达到环保绩效 A级、绩效引领性水平</w:t>
                  </w: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2340" w:type="dxa"/>
                  <w:noWrap w:val="0"/>
                  <w:vAlign w:val="center"/>
                </w:tcPr>
                <w:p w14:paraId="2BB27177">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auto"/>
                    </w:rPr>
                    <w:t>本项目属于</w:t>
                  </w:r>
                  <w:r>
                    <w:rPr>
                      <w:rFonts w:hint="eastAsia"/>
                      <w:color w:val="auto"/>
                      <w:lang w:val="en-US" w:eastAsia="zh-CN"/>
                    </w:rPr>
                    <w:t>肥料制造</w:t>
                  </w:r>
                  <w:r>
                    <w:rPr>
                      <w:rFonts w:hint="eastAsia"/>
                      <w:color w:val="auto"/>
                    </w:rPr>
                    <w:t>，经查阅《重污染天气重点行业应急减排措施制定技术指南》，本项目不属于</w:t>
                  </w:r>
                  <w:r>
                    <w:rPr>
                      <w:color w:val="auto"/>
                    </w:rPr>
                    <w:t>39</w:t>
                  </w:r>
                  <w:r>
                    <w:rPr>
                      <w:rFonts w:hint="eastAsia"/>
                      <w:color w:val="auto"/>
                    </w:rPr>
                    <w:t>个重点行业。</w:t>
                  </w:r>
                </w:p>
              </w:tc>
              <w:tc>
                <w:tcPr>
                  <w:tcW w:w="1080" w:type="dxa"/>
                  <w:noWrap w:val="0"/>
                  <w:vAlign w:val="center"/>
                </w:tcPr>
                <w:p w14:paraId="10F36D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039C7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8" w:hRule="atLeast"/>
                <w:jc w:val="center"/>
              </w:trPr>
              <w:tc>
                <w:tcPr>
                  <w:tcW w:w="1491" w:type="dxa"/>
                  <w:vMerge w:val="restart"/>
                  <w:noWrap w:val="0"/>
                  <w:vAlign w:val="center"/>
                </w:tcPr>
                <w:p w14:paraId="2CE12D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rPr>
                    <w:t>《宝鸡市陈仓区大气污染治理专项行动方案（2023-2027年）》宝陈发〔2023〕6号</w:t>
                  </w:r>
                </w:p>
              </w:tc>
              <w:tc>
                <w:tcPr>
                  <w:tcW w:w="3367" w:type="dxa"/>
                  <w:noWrap w:val="0"/>
                  <w:vAlign w:val="center"/>
                </w:tcPr>
                <w:p w14:paraId="69AAA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aps w:val="0"/>
                      <w:color w:val="auto"/>
                      <w:spacing w:val="0"/>
                      <w:position w:val="0"/>
                      <w:sz w:val="21"/>
                      <w:szCs w:val="21"/>
                    </w:rPr>
                    <w:t>产业发展结构调整。严禁新增水泥熟料、电解铝、氧化铝、产能。不得新增化工园区。严格执行《产业结构调整指导目录》</w:t>
                  </w:r>
                  <w:r>
                    <w:rPr>
                      <w:rFonts w:hint="default" w:ascii="Times New Roman" w:hAnsi="Times New Roman" w:eastAsia="宋体" w:cs="Times New Roman"/>
                      <w:caps w:val="0"/>
                      <w:color w:val="auto"/>
                      <w:spacing w:val="0"/>
                      <w:position w:val="0"/>
                      <w:sz w:val="21"/>
                      <w:szCs w:val="21"/>
                      <w:lang w:eastAsia="zh-CN"/>
                    </w:rPr>
                    <w:t>，</w:t>
                  </w:r>
                  <w:r>
                    <w:rPr>
                      <w:rFonts w:hint="default" w:ascii="Times New Roman" w:hAnsi="Times New Roman" w:eastAsia="宋体" w:cs="Times New Roman"/>
                      <w:caps w:val="0"/>
                      <w:color w:val="auto"/>
                      <w:spacing w:val="0"/>
                      <w:position w:val="0"/>
                      <w:sz w:val="21"/>
                      <w:szCs w:val="21"/>
                    </w:rPr>
                    <w:t>坚决遏制“两高”项目盲目发展，严格落实国家产业规划、产业政策、“三线一单”、规划环评，以及产能置换、煤炭消费减量替代、区域污染物削减等要求，严禁不符合规定的项目建设。</w:t>
                  </w:r>
                </w:p>
              </w:tc>
              <w:tc>
                <w:tcPr>
                  <w:tcW w:w="2340" w:type="dxa"/>
                  <w:noWrap w:val="0"/>
                  <w:vAlign w:val="center"/>
                </w:tcPr>
                <w:p w14:paraId="1E8EE336">
                  <w:pPr>
                    <w:rPr>
                      <w:rFonts w:hint="default"/>
                      <w:color w:val="auto"/>
                      <w:lang w:val="en-US"/>
                    </w:rPr>
                  </w:pPr>
                  <w:r>
                    <w:rPr>
                      <w:rFonts w:hint="eastAsia"/>
                      <w:color w:val="auto"/>
                    </w:rPr>
                    <w:t>本项目属于</w:t>
                  </w:r>
                  <w:r>
                    <w:rPr>
                      <w:rFonts w:hint="eastAsia"/>
                      <w:color w:val="auto"/>
                      <w:lang w:eastAsia="zh-CN"/>
                    </w:rPr>
                    <w:t>《产业结构调整指导目录（2024</w:t>
                  </w:r>
                  <w:r>
                    <w:rPr>
                      <w:rFonts w:hint="eastAsia"/>
                      <w:color w:val="auto"/>
                      <w:lang w:val="en-US" w:eastAsia="zh-CN"/>
                    </w:rPr>
                    <w:t>年本</w:t>
                  </w:r>
                  <w:r>
                    <w:rPr>
                      <w:rFonts w:hint="eastAsia"/>
                      <w:color w:val="auto"/>
                      <w:lang w:eastAsia="zh-CN"/>
                    </w:rPr>
                    <w:t>）》</w:t>
                  </w:r>
                  <w:r>
                    <w:rPr>
                      <w:rFonts w:hint="eastAsia"/>
                      <w:color w:val="auto"/>
                    </w:rPr>
                    <w:t>允许类项目</w:t>
                  </w:r>
                  <w:r>
                    <w:rPr>
                      <w:rFonts w:hint="eastAsia"/>
                      <w:color w:val="auto"/>
                      <w:lang w:eastAsia="zh-CN"/>
                    </w:rPr>
                    <w:t>，</w:t>
                  </w:r>
                  <w:r>
                    <w:rPr>
                      <w:rFonts w:hint="eastAsia"/>
                      <w:color w:val="auto"/>
                      <w:lang w:val="en-US" w:eastAsia="zh-CN"/>
                    </w:rPr>
                    <w:t>不涉及严禁行业。</w:t>
                  </w:r>
                </w:p>
              </w:tc>
              <w:tc>
                <w:tcPr>
                  <w:tcW w:w="1080" w:type="dxa"/>
                  <w:noWrap w:val="0"/>
                  <w:vAlign w:val="center"/>
                </w:tcPr>
                <w:p w14:paraId="32BEC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kern w:val="21"/>
                      <w:sz w:val="21"/>
                      <w:szCs w:val="21"/>
                      <w:lang w:val="en-US" w:eastAsia="zh-CN"/>
                      <w14:textFill>
                        <w14:solidFill>
                          <w14:schemeClr w14:val="tx1"/>
                        </w14:solidFill>
                      </w14:textFill>
                    </w:rPr>
                  </w:pPr>
                </w:p>
              </w:tc>
            </w:tr>
            <w:tr w14:paraId="47D56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8" w:hRule="atLeast"/>
                <w:jc w:val="center"/>
              </w:trPr>
              <w:tc>
                <w:tcPr>
                  <w:tcW w:w="1491" w:type="dxa"/>
                  <w:vMerge w:val="continue"/>
                  <w:noWrap w:val="0"/>
                  <w:vAlign w:val="center"/>
                </w:tcPr>
                <w:p w14:paraId="66021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367" w:type="dxa"/>
                  <w:noWrap w:val="0"/>
                  <w:vAlign w:val="center"/>
                </w:tcPr>
                <w:p w14:paraId="54C191E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aps w:val="0"/>
                      <w:color w:val="auto"/>
                      <w:spacing w:val="0"/>
                      <w:position w:val="0"/>
                      <w:sz w:val="21"/>
                      <w:szCs w:val="21"/>
                    </w:rPr>
                  </w:pPr>
                  <w:r>
                    <w:rPr>
                      <w:rFonts w:hint="default" w:ascii="Times New Roman" w:hAnsi="Times New Roman" w:eastAsia="宋体" w:cs="Times New Roman"/>
                      <w:caps w:val="0"/>
                      <w:color w:val="auto"/>
                      <w:spacing w:val="0"/>
                      <w:position w:val="0"/>
                      <w:sz w:val="21"/>
                      <w:szCs w:val="21"/>
                    </w:rPr>
                    <w:t>开展“创A、升B、减C、清D”活动，提升重点行业绩效分级B级及以上和引领性企业占比，聚焦重点涉气企业，兼顾企业数量和质量，重点行业头部企业、排放大户要率先升级。</w:t>
                  </w:r>
                </w:p>
              </w:tc>
              <w:tc>
                <w:tcPr>
                  <w:tcW w:w="2340" w:type="dxa"/>
                  <w:noWrap w:val="0"/>
                  <w:vAlign w:val="center"/>
                </w:tcPr>
                <w:p w14:paraId="7896FE5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aps w:val="0"/>
                      <w:color w:val="auto"/>
                      <w:spacing w:val="0"/>
                      <w:position w:val="0"/>
                      <w:sz w:val="21"/>
                      <w:szCs w:val="21"/>
                    </w:rPr>
                  </w:pPr>
                  <w:r>
                    <w:rPr>
                      <w:rFonts w:hint="eastAsia"/>
                      <w:color w:val="auto"/>
                    </w:rPr>
                    <w:t>本项目属于</w:t>
                  </w:r>
                  <w:r>
                    <w:rPr>
                      <w:rFonts w:hint="eastAsia"/>
                      <w:color w:val="auto"/>
                      <w:lang w:val="en-US" w:eastAsia="zh-CN"/>
                    </w:rPr>
                    <w:t>肥料制造</w:t>
                  </w:r>
                  <w:r>
                    <w:rPr>
                      <w:rFonts w:hint="eastAsia"/>
                      <w:color w:val="auto"/>
                    </w:rPr>
                    <w:t>，经查阅《重污染天气重点行业应急减排措施制定技术指南》，本项目不属于</w:t>
                  </w:r>
                  <w:r>
                    <w:rPr>
                      <w:color w:val="auto"/>
                    </w:rPr>
                    <w:t>39</w:t>
                  </w:r>
                  <w:r>
                    <w:rPr>
                      <w:rFonts w:hint="eastAsia"/>
                      <w:color w:val="auto"/>
                    </w:rPr>
                    <w:t>个重点行业。</w:t>
                  </w:r>
                </w:p>
              </w:tc>
              <w:tc>
                <w:tcPr>
                  <w:tcW w:w="1080" w:type="dxa"/>
                  <w:noWrap w:val="0"/>
                  <w:vAlign w:val="center"/>
                </w:tcPr>
                <w:p w14:paraId="11FC52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aps w:val="0"/>
                      <w:color w:val="auto"/>
                      <w:spacing w:val="0"/>
                      <w:position w:val="0"/>
                      <w:sz w:val="21"/>
                      <w:szCs w:val="21"/>
                    </w:rPr>
                  </w:pPr>
                </w:p>
              </w:tc>
            </w:tr>
            <w:tr w14:paraId="2DC32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1491" w:type="dxa"/>
                  <w:noWrap w:val="0"/>
                  <w:vAlign w:val="center"/>
                </w:tcPr>
                <w:p w14:paraId="4221DE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ascii="Times New Roman" w:hAnsi="Times New Roman" w:cs="Times New Roman"/>
                      <w:color w:val="auto"/>
                      <w:sz w:val="21"/>
                      <w:szCs w:val="21"/>
                      <w:highlight w:val="none"/>
                      <w:lang w:val="en-US" w:eastAsia="zh-CN"/>
                    </w:rPr>
                    <w:t>《宝鸡市环境空气质量限期达标规划》</w:t>
                  </w:r>
                </w:p>
              </w:tc>
              <w:tc>
                <w:tcPr>
                  <w:tcW w:w="3367" w:type="dxa"/>
                  <w:noWrap w:val="0"/>
                  <w:vAlign w:val="center"/>
                </w:tcPr>
                <w:p w14:paraId="4B679A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snapToGrid w:val="0"/>
                      <w:color w:val="auto"/>
                      <w:sz w:val="21"/>
                      <w:szCs w:val="21"/>
                      <w:highlight w:val="none"/>
                      <w:lang w:val="en-US" w:eastAsia="zh-CN"/>
                    </w:rPr>
                    <w:t>严格执行《产业结构调整指导目录》，坚决遏制“两高”项目盲目发展。市辖区及开发区新、改、扩建涉气重点行业企业应达到环保绩效A级、绩效引领性水平。</w:t>
                  </w:r>
                </w:p>
              </w:tc>
              <w:tc>
                <w:tcPr>
                  <w:tcW w:w="2340" w:type="dxa"/>
                  <w:noWrap w:val="0"/>
                  <w:vAlign w:val="center"/>
                </w:tcPr>
                <w:p w14:paraId="4CA91DC2">
                  <w:pPr>
                    <w:rPr>
                      <w:rFonts w:hint="eastAsia"/>
                      <w:color w:val="auto"/>
                    </w:rPr>
                  </w:pPr>
                  <w:r>
                    <w:rPr>
                      <w:rFonts w:hint="eastAsia"/>
                      <w:color w:val="auto"/>
                    </w:rPr>
                    <w:t>本项目属于</w:t>
                  </w:r>
                  <w:r>
                    <w:rPr>
                      <w:rFonts w:hint="eastAsia"/>
                      <w:color w:val="auto"/>
                      <w:lang w:val="en-US" w:eastAsia="zh-CN"/>
                    </w:rPr>
                    <w:t>肥料制造</w:t>
                  </w:r>
                  <w:r>
                    <w:rPr>
                      <w:rFonts w:hint="eastAsia"/>
                      <w:color w:val="auto"/>
                    </w:rPr>
                    <w:t>，经查阅《重污染天气重点行业应急减排措施制定技术指南》，本项目不属于</w:t>
                  </w:r>
                  <w:r>
                    <w:rPr>
                      <w:color w:val="auto"/>
                    </w:rPr>
                    <w:t>39</w:t>
                  </w:r>
                  <w:r>
                    <w:rPr>
                      <w:rFonts w:hint="eastAsia"/>
                      <w:color w:val="auto"/>
                    </w:rPr>
                    <w:t>个重点行业。</w:t>
                  </w:r>
                </w:p>
              </w:tc>
              <w:tc>
                <w:tcPr>
                  <w:tcW w:w="1080" w:type="dxa"/>
                  <w:noWrap w:val="0"/>
                  <w:vAlign w:val="center"/>
                </w:tcPr>
                <w:p w14:paraId="0227AE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000000" w:themeColor="text1"/>
                      <w:kern w:val="21"/>
                      <w:sz w:val="21"/>
                      <w:szCs w:val="21"/>
                      <w:lang w:val="en-US" w:eastAsia="zh-CN"/>
                      <w14:textFill>
                        <w14:solidFill>
                          <w14:schemeClr w14:val="tx1"/>
                        </w14:solidFill>
                      </w14:textFill>
                    </w:rPr>
                    <w:t>符合</w:t>
                  </w:r>
                </w:p>
              </w:tc>
            </w:tr>
            <w:tr w14:paraId="712B6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1491" w:type="dxa"/>
                  <w:noWrap w:val="0"/>
                  <w:vAlign w:val="center"/>
                </w:tcPr>
                <w:p w14:paraId="3E49D971">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《宝鸡市工业炉窑大气污染综合治理实施方案》（宝治霾办发</w:t>
                  </w:r>
                </w:p>
                <w:p w14:paraId="28C1B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rPr>
                    <w:t>[2019]26号）</w:t>
                  </w:r>
                </w:p>
              </w:tc>
              <w:tc>
                <w:tcPr>
                  <w:tcW w:w="3367" w:type="dxa"/>
                  <w:noWrap w:val="0"/>
                  <w:vAlign w:val="center"/>
                </w:tcPr>
                <w:p w14:paraId="1C7B57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sz w:val="21"/>
                      <w:szCs w:val="21"/>
                      <w:highlight w:val="none"/>
                      <w:lang w:val="en-US" w:eastAsia="zh-CN"/>
                    </w:rPr>
                  </w:pPr>
                  <w:r>
                    <w:rPr>
                      <w:rFonts w:hint="default" w:ascii="Times New Roman" w:hAnsi="Times New Roman" w:cs="Times New Roman"/>
                      <w:bCs/>
                      <w:color w:val="auto"/>
                      <w:kern w:val="0"/>
                      <w:szCs w:val="21"/>
                    </w:rPr>
                    <w:t>加大产业结构调整力度。严格建设项目环境准入。新建涉工业炉窑的建设项目，原则上要入园区，配套建设高效环保治理设施。</w:t>
                  </w:r>
                </w:p>
              </w:tc>
              <w:tc>
                <w:tcPr>
                  <w:tcW w:w="2340" w:type="dxa"/>
                  <w:noWrap w:val="0"/>
                  <w:vAlign w:val="center"/>
                </w:tcPr>
                <w:p w14:paraId="3C71EF4C">
                  <w:pPr>
                    <w:rPr>
                      <w:rFonts w:hint="eastAsia" w:eastAsia="宋体"/>
                      <w:color w:val="auto"/>
                      <w:lang w:eastAsia="zh-CN"/>
                    </w:rPr>
                  </w:pPr>
                  <w:r>
                    <w:rPr>
                      <w:rFonts w:hint="eastAsia"/>
                      <w:color w:val="auto"/>
                    </w:rPr>
                    <w:t>本项目</w:t>
                  </w:r>
                  <w:r>
                    <w:rPr>
                      <w:rFonts w:hint="eastAsia"/>
                      <w:color w:val="auto"/>
                      <w:lang w:val="en-US" w:eastAsia="zh-CN"/>
                    </w:rPr>
                    <w:t>位于东风磷肥厂内，用地性质为工业用地，</w:t>
                  </w:r>
                  <w:r>
                    <w:rPr>
                      <w:rFonts w:hint="eastAsia"/>
                      <w:color w:val="auto"/>
                    </w:rPr>
                    <w:t>烘干</w:t>
                  </w:r>
                  <w:r>
                    <w:rPr>
                      <w:rFonts w:hint="eastAsia"/>
                      <w:color w:val="auto"/>
                      <w:lang w:val="en-US" w:eastAsia="zh-CN"/>
                    </w:rPr>
                    <w:t>工序</w:t>
                  </w:r>
                  <w:r>
                    <w:rPr>
                      <w:rFonts w:hint="eastAsia"/>
                      <w:color w:val="auto"/>
                    </w:rPr>
                    <w:t>配套</w:t>
                  </w:r>
                  <w:r>
                    <w:rPr>
                      <w:rFonts w:hint="eastAsia"/>
                      <w:color w:val="auto"/>
                      <w:lang w:eastAsia="zh-CN"/>
                    </w:rPr>
                    <w:t>的</w:t>
                  </w:r>
                  <w:r>
                    <w:rPr>
                      <w:rFonts w:hint="eastAsia"/>
                      <w:color w:val="auto"/>
                    </w:rPr>
                    <w:t>热风炉为间接式热风炉，燃料为醇基燃料，属于清洁能源，燃烧机为低氮燃烧机，燃烧废气经低氮燃烧后通过1根15m排气筒达标排放</w:t>
                  </w:r>
                  <w:r>
                    <w:rPr>
                      <w:rFonts w:hint="eastAsia"/>
                      <w:color w:val="auto"/>
                      <w:lang w:eastAsia="zh-CN"/>
                    </w:rPr>
                    <w:t>。</w:t>
                  </w:r>
                </w:p>
              </w:tc>
              <w:tc>
                <w:tcPr>
                  <w:tcW w:w="1080" w:type="dxa"/>
                  <w:noWrap w:val="0"/>
                  <w:vAlign w:val="center"/>
                </w:tcPr>
                <w:p w14:paraId="18AC0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kern w:val="21"/>
                      <w:sz w:val="21"/>
                      <w:szCs w:val="21"/>
                      <w:lang w:val="en-US" w:eastAsia="zh-CN"/>
                      <w14:textFill>
                        <w14:solidFill>
                          <w14:schemeClr w14:val="tx1"/>
                        </w14:solidFill>
                      </w14:textFill>
                    </w:rPr>
                  </w:pPr>
                </w:p>
              </w:tc>
            </w:tr>
          </w:tbl>
          <w:p w14:paraId="1A2D5B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经与《宝鸡市大气污染防治条例</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宝鸡市“十四五”生态环境保护规划</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宝鸡市蓝天碧水净土保卫战</w:t>
            </w:r>
            <w:r>
              <w:rPr>
                <w:rFonts w:hint="default" w:ascii="Times New Roman" w:hAnsi="Times New Roman" w:eastAsia="宋体" w:cs="Times New Roman"/>
                <w:color w:val="000000" w:themeColor="text1"/>
                <w:sz w:val="24"/>
                <w:szCs w:val="24"/>
                <w:lang w:eastAsia="zh-Hans"/>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年工作方案</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国土资源部农业部关于进一步支持设施农业健康发展的通知》（国土资发[2014]127 号）</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《畜禽粪便堆肥技术规范</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等相关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环保</w:t>
            </w:r>
            <w:r>
              <w:rPr>
                <w:rFonts w:hint="default" w:ascii="Times New Roman" w:hAnsi="Times New Roman" w:eastAsia="宋体" w:cs="Times New Roman"/>
                <w:color w:val="000000" w:themeColor="text1"/>
                <w:sz w:val="24"/>
                <w:szCs w:val="24"/>
                <w14:textFill>
                  <w14:solidFill>
                    <w14:schemeClr w14:val="tx1"/>
                  </w14:solidFill>
                </w14:textFill>
              </w:rPr>
              <w:t>政策进行符合性分析，项目建设内容和污染防治措施与以上相关政策相符。</w:t>
            </w:r>
          </w:p>
          <w:p w14:paraId="6E42A97A">
            <w:pPr>
              <w:keepNext/>
              <w:keepLines/>
              <w:widowControl/>
              <w:adjustRightInd w:val="0"/>
              <w:snapToGrid w:val="0"/>
              <w:spacing w:line="360" w:lineRule="auto"/>
              <w:ind w:firstLine="482" w:firstLineChars="200"/>
              <w:jc w:val="left"/>
              <w:outlineLvl w:val="1"/>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lang w:val="en-US" w:eastAsia="zh-CN"/>
              </w:rPr>
              <w:t>选址合理性分析</w:t>
            </w:r>
          </w:p>
          <w:p w14:paraId="4652C5FE">
            <w:pPr>
              <w:pageBreakBefore w:val="0"/>
              <w:kinsoku/>
              <w:wordWrap/>
              <w:overflowPunct/>
              <w:topLinePunct w:val="0"/>
              <w:autoSpaceDE/>
              <w:autoSpaceDN/>
              <w:bidi w:val="0"/>
              <w:spacing w:line="360" w:lineRule="auto"/>
              <w:ind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w:t>
            </w:r>
            <w:r>
              <w:rPr>
                <w:rFonts w:hint="default" w:ascii="Times New Roman" w:hAnsi="Times New Roman" w:cs="Times New Roman"/>
                <w:color w:val="000000" w:themeColor="text1"/>
                <w:sz w:val="24"/>
                <w:szCs w:val="24"/>
                <w:lang w:eastAsia="zh-CN"/>
                <w14:textFill>
                  <w14:solidFill>
                    <w14:schemeClr w14:val="tx1"/>
                  </w14:solidFill>
                </w14:textFill>
              </w:rPr>
              <w:t>陕西省宝鸡市</w:t>
            </w:r>
            <w:r>
              <w:rPr>
                <w:rFonts w:hint="eastAsia" w:cs="Times New Roman"/>
                <w:color w:val="000000" w:themeColor="text1"/>
                <w:sz w:val="24"/>
                <w:szCs w:val="24"/>
                <w:lang w:eastAsia="zh-CN"/>
                <w14:textFill>
                  <w14:solidFill>
                    <w14:schemeClr w14:val="tx1"/>
                  </w14:solidFill>
                </w14:textFill>
              </w:rPr>
              <w:t>陈仓区阳平镇东风村</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用地性质为工业用地，用地性质符合要求。</w:t>
            </w:r>
          </w:p>
          <w:p w14:paraId="0B4EE760">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本项目属于“二十三、化学原料和化学制品制造-45、肥料制造”，但本项目不属于危险化学品的生产项目、生产工艺中不涉及化工工艺，</w:t>
            </w:r>
            <w:r>
              <w:rPr>
                <w:rFonts w:hint="eastAsia" w:cs="Times New Roman"/>
                <w:color w:val="000000" w:themeColor="text1"/>
                <w:sz w:val="24"/>
                <w:szCs w:val="24"/>
                <w:lang w:val="en-US" w:eastAsia="zh-CN"/>
                <w14:textFill>
                  <w14:solidFill>
                    <w14:schemeClr w14:val="tx1"/>
                  </w14:solidFill>
                </w14:textFill>
              </w:rPr>
              <w:t>根据环境风险分析，本项目Q值小于1，</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不构成重大风险源，根据宝鸡市安全生产委员会办公室关于印发《宝鸡市新建化工项目安全准入条件（试行）》的通知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宝市安办发〔2021〕126号</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文件中的相关要求，本项目可不入化工园区。</w:t>
            </w:r>
          </w:p>
          <w:p w14:paraId="264373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经现场调查，本项目</w:t>
            </w:r>
            <w:r>
              <w:rPr>
                <w:rFonts w:hint="eastAsia" w:cs="Times New Roman"/>
                <w:color w:val="000000" w:themeColor="text1"/>
                <w:sz w:val="24"/>
                <w:szCs w:val="24"/>
                <w:lang w:val="en-US" w:eastAsia="zh-CN"/>
                <w14:textFill>
                  <w14:solidFill>
                    <w14:schemeClr w14:val="tx1"/>
                  </w14:solidFill>
                </w14:textFill>
              </w:rPr>
              <w:t>南</w:t>
            </w:r>
            <w:r>
              <w:rPr>
                <w:rFonts w:hint="default" w:ascii="Times New Roman" w:hAnsi="Times New Roman" w:cs="Times New Roman"/>
                <w:color w:val="000000" w:themeColor="text1"/>
                <w:sz w:val="24"/>
                <w:szCs w:val="24"/>
                <w:lang w:val="en-US" w:eastAsia="zh-CN"/>
                <w14:textFill>
                  <w14:solidFill>
                    <w14:schemeClr w14:val="tx1"/>
                  </w14:solidFill>
                </w14:textFill>
              </w:rPr>
              <w:t>侧</w:t>
            </w:r>
            <w:r>
              <w:rPr>
                <w:rFonts w:hint="eastAsia" w:cs="Times New Roman"/>
                <w:color w:val="000000" w:themeColor="text1"/>
                <w:sz w:val="24"/>
                <w:szCs w:val="24"/>
                <w:lang w:val="en-US" w:eastAsia="zh-CN"/>
                <w14:textFill>
                  <w14:solidFill>
                    <w14:schemeClr w14:val="tx1"/>
                  </w14:solidFill>
                </w14:textFill>
              </w:rPr>
              <w:t>60</w:t>
            </w:r>
            <w:r>
              <w:rPr>
                <w:rFonts w:hint="eastAsia" w:ascii="Times New Roman" w:hAnsi="Times New Roman" w:cs="Times New Roman"/>
                <w:color w:val="000000" w:themeColor="text1"/>
                <w:sz w:val="24"/>
                <w:szCs w:val="24"/>
                <w:lang w:val="en-US" w:eastAsia="zh-CN"/>
                <w14:textFill>
                  <w14:solidFill>
                    <w14:schemeClr w14:val="tx1"/>
                  </w14:solidFill>
                </w14:textFill>
              </w:rPr>
              <w:t>米处为</w:t>
            </w:r>
            <w:r>
              <w:rPr>
                <w:rFonts w:hint="eastAsia" w:cs="Times New Roman"/>
                <w:color w:val="000000" w:themeColor="text1"/>
                <w:sz w:val="24"/>
                <w:szCs w:val="24"/>
                <w:lang w:val="en-US" w:eastAsia="zh-CN"/>
                <w14:textFill>
                  <w14:solidFill>
                    <w14:schemeClr w14:val="tx1"/>
                  </w14:solidFill>
                </w14:textFill>
              </w:rPr>
              <w:t>G30连霍高速</w:t>
            </w:r>
            <w:r>
              <w:rPr>
                <w:rFonts w:hint="default" w:ascii="Times New Roman" w:hAnsi="Times New Roman" w:cs="Times New Roman"/>
                <w:color w:val="000000" w:themeColor="text1"/>
                <w:sz w:val="24"/>
                <w:szCs w:val="24"/>
                <w:lang w:val="en-US" w:eastAsia="zh-CN"/>
                <w14:textFill>
                  <w14:solidFill>
                    <w14:schemeClr w14:val="tx1"/>
                  </w14:solidFill>
                </w14:textFill>
              </w:rPr>
              <w:t>、西侧</w:t>
            </w:r>
            <w:r>
              <w:rPr>
                <w:rFonts w:hint="eastAsia" w:cs="Times New Roman"/>
                <w:color w:val="000000" w:themeColor="text1"/>
                <w:sz w:val="24"/>
                <w:szCs w:val="24"/>
                <w:lang w:val="en-US" w:eastAsia="zh-CN"/>
                <w14:textFill>
                  <w14:solidFill>
                    <w14:schemeClr w14:val="tx1"/>
                  </w14:solidFill>
                </w14:textFill>
              </w:rPr>
              <w:t>、北侧</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宝鸡东风磷肥厂厂房</w:t>
            </w:r>
            <w:r>
              <w:rPr>
                <w:rFonts w:hint="eastAsia" w:ascii="Times New Roman" w:hAnsi="Times New Roman" w:cs="Times New Roman"/>
                <w:color w:val="000000" w:themeColor="text1"/>
                <w:sz w:val="24"/>
                <w:szCs w:val="24"/>
                <w:lang w:val="en-US" w:eastAsia="zh-CN"/>
                <w14:textFill>
                  <w14:solidFill>
                    <w14:schemeClr w14:val="tx1"/>
                  </w14:solidFill>
                </w14:textFill>
              </w:rPr>
              <w:t>，距离</w:t>
            </w:r>
            <w:r>
              <w:rPr>
                <w:rFonts w:hint="default" w:ascii="Times New Roman" w:hAnsi="Times New Roman" w:cs="Times New Roman"/>
                <w:color w:val="000000" w:themeColor="text1"/>
                <w:kern w:val="0"/>
                <w:sz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所在地</w:t>
            </w:r>
            <w:r>
              <w:rPr>
                <w:rFonts w:hint="eastAsia" w:cs="Times New Roman"/>
                <w:color w:val="000000" w:themeColor="text1"/>
                <w:kern w:val="0"/>
                <w:sz w:val="24"/>
                <w:lang w:val="en-US" w:eastAsia="zh-CN"/>
                <w14:textFill>
                  <w14:solidFill>
                    <w14:schemeClr w14:val="tx1"/>
                  </w14:solidFill>
                </w14:textFill>
              </w:rPr>
              <w:t>最近的敏感点东风村位于厂区西北侧177m处，该敏感点距离发酵车间约252m</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发酵</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车间</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产生的恶臭气体采取一体化</w:t>
            </w:r>
            <w:r>
              <w:rPr>
                <w:rFonts w:hint="eastAsia" w:cs="Times New Roman"/>
                <w:b w:val="0"/>
                <w:bCs w:val="0"/>
                <w:color w:val="000000" w:themeColor="text1"/>
                <w:kern w:val="0"/>
                <w:sz w:val="24"/>
                <w:lang w:val="en-US" w:eastAsia="zh-CN"/>
                <w14:textFill>
                  <w14:solidFill>
                    <w14:schemeClr w14:val="tx1"/>
                  </w14:solidFill>
                </w14:textFill>
              </w:rPr>
              <w:t>生物除臭装置</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处理后经15m高排气筒排放</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处理后各污染物均能达标排放，不会对周边环境产生较大影响。</w:t>
            </w:r>
          </w:p>
          <w:p w14:paraId="5D12F917">
            <w:pPr>
              <w:autoSpaceDE w:val="0"/>
              <w:autoSpaceDN w:val="0"/>
              <w:adjustRightInd w:val="0"/>
              <w:snapToGrid w:val="0"/>
              <w:spacing w:line="360" w:lineRule="auto"/>
              <w:ind w:firstLine="480" w:firstLineChars="200"/>
              <w:jc w:val="both"/>
              <w:rPr>
                <w:rFonts w:hint="eastAsia" w:ascii="宋体" w:hAnsi="宋体" w:cs="宋体"/>
                <w:color w:val="auto"/>
                <w:sz w:val="24"/>
              </w:rPr>
            </w:pPr>
            <w:r>
              <w:rPr>
                <w:rFonts w:hint="eastAsia"/>
                <w:color w:val="auto"/>
                <w:sz w:val="24"/>
                <w:lang w:val="en-US" w:eastAsia="zh-CN"/>
              </w:rPr>
              <w:t>且本项目</w:t>
            </w:r>
            <w:r>
              <w:rPr>
                <w:rFonts w:hint="eastAsia"/>
                <w:color w:val="auto"/>
                <w:sz w:val="24"/>
              </w:rPr>
              <w:t>厂界500m内无自然保护区、风景名胜区等，无地下水集中式或分散式饮用水水源和热水、矿泉水、温泉等特殊地下水资源，故本项目的建设不存在制约因素。</w:t>
            </w:r>
            <w:r>
              <w:rPr>
                <w:rFonts w:hint="eastAsia" w:ascii="宋体" w:hAnsi="宋体" w:cs="宋体"/>
                <w:color w:val="auto"/>
                <w:sz w:val="24"/>
              </w:rPr>
              <w:t>综上所述，从环境保护角度分析，项目选址合理可行。</w:t>
            </w:r>
          </w:p>
          <w:p w14:paraId="2597DCA3">
            <w:pPr>
              <w:autoSpaceDE w:val="0"/>
              <w:autoSpaceDN w:val="0"/>
              <w:adjustRightInd w:val="0"/>
              <w:snapToGrid w:val="0"/>
              <w:spacing w:line="360" w:lineRule="auto"/>
              <w:ind w:firstLine="480" w:firstLineChars="200"/>
              <w:jc w:val="both"/>
              <w:rPr>
                <w:rFonts w:hint="eastAsia" w:ascii="宋体" w:hAnsi="宋体" w:cs="宋体"/>
                <w:color w:val="auto"/>
                <w:sz w:val="24"/>
              </w:rPr>
            </w:pPr>
          </w:p>
          <w:p w14:paraId="73DB0CFE">
            <w:pPr>
              <w:autoSpaceDE w:val="0"/>
              <w:autoSpaceDN w:val="0"/>
              <w:adjustRightInd w:val="0"/>
              <w:snapToGrid w:val="0"/>
              <w:spacing w:line="360" w:lineRule="auto"/>
              <w:ind w:firstLine="480" w:firstLineChars="200"/>
              <w:jc w:val="both"/>
              <w:rPr>
                <w:rFonts w:hint="eastAsia" w:ascii="宋体" w:hAnsi="宋体" w:cs="宋体"/>
                <w:color w:val="auto"/>
                <w:sz w:val="24"/>
              </w:rPr>
            </w:pPr>
          </w:p>
          <w:p w14:paraId="0B0DE55F">
            <w:pPr>
              <w:autoSpaceDE w:val="0"/>
              <w:autoSpaceDN w:val="0"/>
              <w:adjustRightInd w:val="0"/>
              <w:snapToGrid w:val="0"/>
              <w:spacing w:line="360" w:lineRule="auto"/>
              <w:ind w:firstLine="480" w:firstLineChars="200"/>
              <w:jc w:val="both"/>
              <w:rPr>
                <w:rFonts w:hint="eastAsia" w:ascii="宋体" w:hAnsi="宋体" w:cs="宋体"/>
                <w:color w:val="auto"/>
                <w:sz w:val="24"/>
              </w:rPr>
            </w:pPr>
          </w:p>
          <w:p w14:paraId="089FFCE6">
            <w:pPr>
              <w:autoSpaceDE w:val="0"/>
              <w:autoSpaceDN w:val="0"/>
              <w:adjustRightInd w:val="0"/>
              <w:snapToGrid w:val="0"/>
              <w:spacing w:line="360" w:lineRule="auto"/>
              <w:ind w:firstLine="480" w:firstLineChars="200"/>
              <w:jc w:val="both"/>
              <w:rPr>
                <w:rFonts w:hint="eastAsia" w:ascii="宋体" w:hAnsi="宋体" w:cs="宋体"/>
                <w:color w:val="auto"/>
                <w:sz w:val="24"/>
              </w:rPr>
            </w:pPr>
          </w:p>
          <w:p w14:paraId="4444C863">
            <w:pPr>
              <w:autoSpaceDE w:val="0"/>
              <w:autoSpaceDN w:val="0"/>
              <w:adjustRightInd w:val="0"/>
              <w:snapToGrid w:val="0"/>
              <w:spacing w:line="360" w:lineRule="auto"/>
              <w:ind w:firstLine="480" w:firstLineChars="200"/>
              <w:jc w:val="both"/>
              <w:rPr>
                <w:rFonts w:hint="default" w:ascii="宋体" w:hAnsi="宋体" w:cs="宋体"/>
                <w:color w:val="auto"/>
                <w:sz w:val="24"/>
                <w:lang w:val="en-US" w:eastAsia="zh-CN"/>
              </w:rPr>
            </w:pPr>
          </w:p>
          <w:p w14:paraId="48E70FFC">
            <w:pPr>
              <w:rPr>
                <w:rFonts w:hint="default"/>
              </w:rPr>
            </w:pPr>
          </w:p>
        </w:tc>
      </w:tr>
    </w:tbl>
    <w:p w14:paraId="7EC8E858">
      <w:pPr>
        <w:spacing w:line="360" w:lineRule="auto"/>
        <w:outlineLvl w:val="0"/>
        <w:rPr>
          <w:rFonts w:hint="default" w:ascii="Times New Roman" w:hAnsi="Times New Roman" w:eastAsia="宋体" w:cs="Times New Roman"/>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4EEFBC9">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352"/>
      </w:tblGrid>
      <w:tr w14:paraId="02C0A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708" w:type="dxa"/>
            <w:noWrap w:val="0"/>
            <w:vAlign w:val="center"/>
          </w:tcPr>
          <w:p w14:paraId="3A24B981">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8352" w:type="dxa"/>
            <w:noWrap w:val="0"/>
            <w:vAlign w:val="top"/>
          </w:tcPr>
          <w:p w14:paraId="48322E70">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1、项目由来</w:t>
            </w:r>
          </w:p>
          <w:p w14:paraId="3B076FB5">
            <w:pPr>
              <w:spacing w:line="360" w:lineRule="auto"/>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宝鸡丰农生物菌制造有限公司</w:t>
            </w:r>
            <w:r>
              <w:rPr>
                <w:rFonts w:hint="default" w:ascii="Times New Roman" w:hAnsi="Times New Roman" w:cs="Times New Roman"/>
                <w:color w:val="000000" w:themeColor="text1"/>
                <w:sz w:val="24"/>
                <w:szCs w:val="24"/>
                <w:lang w:val="en-US" w:eastAsia="zh-CN"/>
                <w14:textFill>
                  <w14:solidFill>
                    <w14:schemeClr w14:val="tx1"/>
                  </w14:solidFill>
                </w14:textFill>
              </w:rPr>
              <w:t>成立于</w:t>
            </w:r>
            <w:r>
              <w:rPr>
                <w:rFonts w:hint="eastAsia" w:cs="Times New Roman"/>
                <w:color w:val="000000" w:themeColor="text1"/>
                <w:sz w:val="24"/>
                <w:szCs w:val="24"/>
                <w:lang w:val="en-US" w:eastAsia="zh-CN"/>
                <w14:textFill>
                  <w14:solidFill>
                    <w14:schemeClr w14:val="tx1"/>
                  </w14:solidFill>
                </w14:textFill>
              </w:rPr>
              <w:t>2011</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lang w:val="en-US" w:eastAsia="zh-CN"/>
                <w14:textFill>
                  <w14:solidFill>
                    <w14:schemeClr w14:val="tx1"/>
                  </w14:solidFill>
                </w14:textFill>
              </w:rPr>
              <w:t>日，</w:t>
            </w:r>
            <w:r>
              <w:rPr>
                <w:rFonts w:hint="eastAsia" w:cs="Times New Roman"/>
                <w:color w:val="000000" w:themeColor="text1"/>
                <w:sz w:val="24"/>
                <w:szCs w:val="24"/>
                <w:lang w:val="en-US" w:eastAsia="zh-CN"/>
                <w14:textFill>
                  <w14:solidFill>
                    <w14:schemeClr w14:val="tx1"/>
                  </w14:solidFill>
                </w14:textFill>
              </w:rPr>
              <w:t>为提高当地畜禽养殖粪便的综合利用，现租赁宝鸡东风磷肥厂已建成厂房，</w:t>
            </w:r>
            <w:r>
              <w:rPr>
                <w:rFonts w:hint="default" w:ascii="Times New Roman" w:hAnsi="Times New Roman" w:cs="Times New Roman"/>
                <w:color w:val="000000" w:themeColor="text1"/>
                <w:sz w:val="24"/>
                <w:szCs w:val="24"/>
                <w:lang w:val="en-US" w:eastAsia="zh-CN"/>
                <w14:textFill>
                  <w14:solidFill>
                    <w14:schemeClr w14:val="tx1"/>
                  </w14:solidFill>
                </w14:textFill>
              </w:rPr>
              <w:t>建设</w:t>
            </w:r>
            <w:r>
              <w:rPr>
                <w:rFonts w:hint="eastAsia" w:cs="Times New Roman"/>
                <w:color w:val="000000" w:themeColor="text1"/>
                <w:sz w:val="24"/>
                <w:szCs w:val="24"/>
                <w:lang w:val="en-US" w:eastAsia="zh-CN"/>
                <w14:textFill>
                  <w14:solidFill>
                    <w14:schemeClr w14:val="tx1"/>
                  </w14:solidFill>
                </w14:textFill>
              </w:rPr>
              <w:t>陈仓区2024年秸秆综合利用项目，本项目的建设一方面减少了当地养殖户产生的畜禽粪便（畜禽粪）对环境的污染，另一方面带动了当地经济发展。</w:t>
            </w:r>
          </w:p>
          <w:p w14:paraId="58107CD0">
            <w:pPr>
              <w:wordWrap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中华人民共和国环境影响评价法》、国务院第682号令《建设项目环境保护管理条例》规定，该项目应进行环境影响评价工作。根据《建设项目环境影响评价分类管理目录》（2021年版）的类别划分，本项目属于</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二十三</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化学原料和化学制品制造业</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肥料制造262中的‘其他’</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故本项目应编制环境影响报告表。</w:t>
            </w:r>
          </w:p>
          <w:p w14:paraId="0ADF33C2">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2、项目概况</w:t>
            </w:r>
          </w:p>
          <w:p w14:paraId="6A149B54">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w:t>
            </w:r>
            <w:r>
              <w:rPr>
                <w:rFonts w:hint="eastAsia" w:cs="Times New Roman"/>
                <w:color w:val="000000" w:themeColor="text1"/>
                <w:sz w:val="24"/>
                <w:szCs w:val="24"/>
                <w:lang w:val="en-US" w:eastAsia="zh-CN"/>
                <w14:textFill>
                  <w14:solidFill>
                    <w14:schemeClr w14:val="tx1"/>
                  </w14:solidFill>
                </w14:textFill>
              </w:rPr>
              <w:t>陈仓区2024年秸秆综合利用项目</w:t>
            </w:r>
          </w:p>
          <w:p w14:paraId="4ED9091A">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r>
              <w:rPr>
                <w:rFonts w:hint="eastAsia" w:cs="Times New Roman"/>
                <w:color w:val="000000" w:themeColor="text1"/>
                <w:sz w:val="24"/>
                <w:szCs w:val="24"/>
                <w:lang w:eastAsia="zh-CN"/>
                <w14:textFill>
                  <w14:solidFill>
                    <w14:schemeClr w14:val="tx1"/>
                  </w14:solidFill>
                </w14:textFill>
              </w:rPr>
              <w:t>宝鸡丰农生物菌制造有限公司</w:t>
            </w:r>
          </w:p>
          <w:p w14:paraId="20B9705D">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r>
              <w:rPr>
                <w:rFonts w:hint="default" w:ascii="Times New Roman" w:hAnsi="Times New Roman" w:cs="Times New Roman"/>
                <w:color w:val="000000" w:themeColor="text1"/>
                <w:sz w:val="24"/>
                <w:szCs w:val="24"/>
                <w:lang w:val="en-US" w:eastAsia="zh-CN"/>
                <w14:textFill>
                  <w14:solidFill>
                    <w14:schemeClr w14:val="tx1"/>
                  </w14:solidFill>
                </w14:textFill>
              </w:rPr>
              <w:t>新建</w:t>
            </w:r>
          </w:p>
          <w:p w14:paraId="38628AD1">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建设地点：本项目位于</w:t>
            </w:r>
            <w:r>
              <w:rPr>
                <w:rFonts w:hint="default" w:ascii="Times New Roman" w:hAnsi="Times New Roman" w:cs="Times New Roman"/>
                <w:color w:val="000000" w:themeColor="text1"/>
                <w:sz w:val="24"/>
                <w:szCs w:val="24"/>
                <w:lang w:eastAsia="zh-CN"/>
                <w14:textFill>
                  <w14:solidFill>
                    <w14:schemeClr w14:val="tx1"/>
                  </w14:solidFill>
                </w14:textFill>
              </w:rPr>
              <w:t>陕西省宝鸡市</w:t>
            </w:r>
            <w:r>
              <w:rPr>
                <w:rFonts w:hint="eastAsia" w:cs="Times New Roman"/>
                <w:color w:val="000000" w:themeColor="text1"/>
                <w:sz w:val="24"/>
                <w:szCs w:val="24"/>
                <w:lang w:eastAsia="zh-CN"/>
                <w14:textFill>
                  <w14:solidFill>
                    <w14:schemeClr w14:val="tx1"/>
                  </w14:solidFill>
                </w14:textFill>
              </w:rPr>
              <w:t>陈仓区阳平镇东风村</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项目南侧60米处为G30连霍高速、西侧、北侧为宝鸡东风磷肥厂厂房</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东侧为</w:t>
            </w:r>
            <w:r>
              <w:rPr>
                <w:rFonts w:hint="default" w:ascii="Times New Roman" w:hAnsi="Times New Roman" w:eastAsia="宋体" w:cs="Times New Roman"/>
                <w:color w:val="000000" w:themeColor="text1"/>
                <w:sz w:val="24"/>
                <w:szCs w:val="24"/>
                <w14:textFill>
                  <w14:solidFill>
                    <w14:schemeClr w14:val="tx1"/>
                  </w14:solidFill>
                </w14:textFill>
              </w:rPr>
              <w:t>东风磷肥厂</w:t>
            </w:r>
            <w:r>
              <w:rPr>
                <w:rFonts w:hint="eastAsia" w:cs="Times New Roman"/>
                <w:color w:val="000000" w:themeColor="text1"/>
                <w:sz w:val="24"/>
                <w:szCs w:val="24"/>
                <w:lang w:val="en-US" w:eastAsia="zh-CN"/>
                <w14:textFill>
                  <w14:solidFill>
                    <w14:schemeClr w14:val="tx1"/>
                  </w14:solidFill>
                </w14:textFill>
              </w:rPr>
              <w:t>厂界及农田</w:t>
            </w:r>
            <w:r>
              <w:rPr>
                <w:rFonts w:hint="default" w:ascii="Times New Roman" w:hAnsi="Times New Roman" w:eastAsia="宋体" w:cs="Times New Roman"/>
                <w:color w:val="000000" w:themeColor="text1"/>
                <w:sz w:val="24"/>
                <w:szCs w:val="24"/>
                <w14:textFill>
                  <w14:solidFill>
                    <w14:schemeClr w14:val="tx1"/>
                  </w14:solidFill>
                </w14:textFill>
              </w:rPr>
              <w:t>。项目中心地理坐标为</w:t>
            </w:r>
            <w:bookmarkStart w:id="8" w:name="_Hlk77175192"/>
            <w:r>
              <w:rPr>
                <w:rFonts w:hint="default" w:ascii="Times New Roman" w:hAnsi="Times New Roman" w:eastAsia="宋体" w:cs="Times New Roman"/>
                <w:color w:val="000000" w:themeColor="text1"/>
                <w:sz w:val="24"/>
                <w:szCs w:val="24"/>
                <w14:textFill>
                  <w14:solidFill>
                    <w14:schemeClr w14:val="tx1"/>
                  </w14:solidFill>
                </w14:textFill>
              </w:rPr>
              <w:t>东经</w:t>
            </w:r>
            <w:r>
              <w:rPr>
                <w:rFonts w:hint="default" w:ascii="Times New Roman" w:hAnsi="Times New Roman" w:cs="Times New Roman"/>
                <w:color w:val="000000" w:themeColor="text1"/>
                <w:sz w:val="24"/>
                <w:szCs w:val="24"/>
                <w:lang w:eastAsia="zh-CN"/>
                <w14:textFill>
                  <w14:solidFill>
                    <w14:schemeClr w14:val="tx1"/>
                  </w14:solidFill>
                </w14:textFill>
              </w:rPr>
              <w:t>107°</w:t>
            </w:r>
            <w:r>
              <w:rPr>
                <w:rFonts w:hint="eastAsia" w:cs="Times New Roman"/>
                <w:color w:val="000000" w:themeColor="text1"/>
                <w:sz w:val="24"/>
                <w:szCs w:val="24"/>
                <w:lang w:val="en-US" w:eastAsia="zh-CN"/>
                <w14:textFill>
                  <w14:solidFill>
                    <w14:schemeClr w14:val="tx1"/>
                  </w14:solidFill>
                </w14:textFill>
              </w:rPr>
              <w:t>31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30.104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，北纬</w:t>
            </w:r>
            <w:bookmarkEnd w:id="8"/>
            <w:r>
              <w:rPr>
                <w:rFonts w:hint="default" w:ascii="Times New Roman" w:hAnsi="Times New Roman" w:cs="Times New Roman"/>
                <w:color w:val="000000" w:themeColor="text1"/>
                <w:sz w:val="24"/>
                <w:szCs w:val="24"/>
                <w:lang w:eastAsia="zh-CN"/>
                <w14:textFill>
                  <w14:solidFill>
                    <w14:schemeClr w14:val="tx1"/>
                  </w14:solidFill>
                </w14:textFill>
              </w:rPr>
              <w:t>34°</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57.914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，具体建设地理位置如附图1所示。</w:t>
            </w:r>
          </w:p>
          <w:p w14:paraId="5398444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3、建设工程内容及规模</w:t>
            </w:r>
          </w:p>
          <w:p w14:paraId="185C15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项目总占地</w:t>
            </w:r>
            <w:r>
              <w:rPr>
                <w:rFonts w:hint="eastAsia" w:cs="Times New Roman"/>
                <w:color w:val="000000" w:themeColor="text1"/>
                <w:sz w:val="24"/>
                <w:szCs w:val="24"/>
                <w:lang w:val="en-US" w:eastAsia="zh-CN"/>
                <w14:textFill>
                  <w14:solidFill>
                    <w14:schemeClr w14:val="tx1"/>
                  </w14:solidFill>
                </w14:textFill>
              </w:rPr>
              <w:t>6913.24</w:t>
            </w:r>
            <w:r>
              <w:rPr>
                <w:rFonts w:hint="default" w:ascii="Times New Roman" w:hAnsi="Times New Roman" w:cs="Times New Roman"/>
                <w:color w:val="000000" w:themeColor="text1"/>
                <w:sz w:val="24"/>
                <w:szCs w:val="24"/>
                <w:lang w:val="en-US" w:eastAsia="zh-CN"/>
                <w14:textFill>
                  <w14:solidFill>
                    <w14:schemeClr w14:val="tx1"/>
                  </w14:solidFill>
                </w14:textFill>
              </w:rPr>
              <w:t>平方米，总建筑面积</w:t>
            </w:r>
            <w:r>
              <w:rPr>
                <w:rFonts w:hint="eastAsia" w:cs="Times New Roman"/>
                <w:color w:val="000000" w:themeColor="text1"/>
                <w:sz w:val="24"/>
                <w:szCs w:val="24"/>
                <w:lang w:val="en-US" w:eastAsia="zh-CN"/>
                <w14:textFill>
                  <w14:solidFill>
                    <w14:schemeClr w14:val="tx1"/>
                  </w14:solidFill>
                </w14:textFill>
              </w:rPr>
              <w:t>5331</w:t>
            </w:r>
            <w:r>
              <w:rPr>
                <w:rFonts w:hint="default" w:ascii="Times New Roman" w:hAnsi="Times New Roman" w:cs="Times New Roman"/>
                <w:color w:val="000000" w:themeColor="text1"/>
                <w:sz w:val="24"/>
                <w:szCs w:val="24"/>
                <w:lang w:val="en-US" w:eastAsia="zh-CN"/>
                <w14:textFill>
                  <w14:solidFill>
                    <w14:schemeClr w14:val="tx1"/>
                  </w14:solidFill>
                </w14:textFill>
              </w:rPr>
              <w:t>平方米，其中：发酵车间建筑面积</w:t>
            </w:r>
            <w:r>
              <w:rPr>
                <w:rFonts w:hint="eastAsia" w:cs="Times New Roman"/>
                <w:color w:val="000000" w:themeColor="text1"/>
                <w:sz w:val="24"/>
                <w:szCs w:val="24"/>
                <w:lang w:val="en-US" w:eastAsia="zh-CN"/>
                <w14:textFill>
                  <w14:solidFill>
                    <w14:schemeClr w14:val="tx1"/>
                  </w14:solidFill>
                </w14:textFill>
              </w:rPr>
              <w:t>1963</w:t>
            </w:r>
            <w:r>
              <w:rPr>
                <w:rFonts w:hint="default" w:ascii="Times New Roman" w:hAnsi="Times New Roman" w:cs="Times New Roman"/>
                <w:color w:val="000000" w:themeColor="text1"/>
                <w:sz w:val="24"/>
                <w:szCs w:val="24"/>
                <w:lang w:val="en-US" w:eastAsia="zh-CN"/>
                <w14:textFill>
                  <w14:solidFill>
                    <w14:schemeClr w14:val="tx1"/>
                  </w14:solidFill>
                </w14:textFill>
              </w:rPr>
              <w:t>平方米，</w:t>
            </w:r>
            <w:r>
              <w:rPr>
                <w:rFonts w:hint="eastAsia" w:cs="Times New Roman"/>
                <w:color w:val="000000" w:themeColor="text1"/>
                <w:sz w:val="24"/>
                <w:szCs w:val="24"/>
                <w:lang w:val="en-US" w:eastAsia="zh-CN"/>
                <w14:textFill>
                  <w14:solidFill>
                    <w14:schemeClr w14:val="tx1"/>
                  </w14:solidFill>
                </w14:textFill>
              </w:rPr>
              <w:t>生产车间3368</w:t>
            </w:r>
            <w:r>
              <w:rPr>
                <w:rFonts w:hint="default" w:ascii="Times New Roman" w:hAnsi="Times New Roman" w:cs="Times New Roman"/>
                <w:color w:val="000000" w:themeColor="text1"/>
                <w:sz w:val="24"/>
                <w:szCs w:val="24"/>
                <w:lang w:val="en-US" w:eastAsia="zh-CN"/>
                <w14:textFill>
                  <w14:solidFill>
                    <w14:schemeClr w14:val="tx1"/>
                  </w14:solidFill>
                </w14:textFill>
              </w:rPr>
              <w:t>平方米，厂区硬化面积1035平方米，购置切断机、粉碎机、搅拌机、造粒机、</w:t>
            </w:r>
            <w:r>
              <w:rPr>
                <w:rFonts w:hint="eastAsia" w:cs="Times New Roman"/>
                <w:color w:val="000000" w:themeColor="text1"/>
                <w:sz w:val="24"/>
                <w:szCs w:val="24"/>
                <w:lang w:val="en-US" w:eastAsia="zh-CN"/>
                <w14:textFill>
                  <w14:solidFill>
                    <w14:schemeClr w14:val="tx1"/>
                  </w14:solidFill>
                </w14:textFill>
              </w:rPr>
              <w:t>烘干机、</w:t>
            </w:r>
            <w:r>
              <w:rPr>
                <w:rFonts w:hint="default" w:ascii="Times New Roman" w:hAnsi="Times New Roman" w:cs="Times New Roman"/>
                <w:color w:val="000000" w:themeColor="text1"/>
                <w:sz w:val="24"/>
                <w:szCs w:val="24"/>
                <w:lang w:val="en-US" w:eastAsia="zh-CN"/>
                <w14:textFill>
                  <w14:solidFill>
                    <w14:schemeClr w14:val="tx1"/>
                  </w14:solidFill>
                </w14:textFill>
              </w:rPr>
              <w:t>翻抛机、筛分机各1台。</w:t>
            </w:r>
          </w:p>
          <w:p w14:paraId="3B2564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年处理</w:t>
            </w:r>
            <w:r>
              <w:rPr>
                <w:rFonts w:hint="eastAsia" w:cs="Times New Roman"/>
                <w:color w:val="000000" w:themeColor="text1"/>
                <w:sz w:val="24"/>
                <w:szCs w:val="24"/>
                <w:lang w:val="en-US" w:eastAsia="zh-CN"/>
                <w14:textFill>
                  <w14:solidFill>
                    <w14:schemeClr w14:val="tx1"/>
                  </w14:solidFill>
                </w14:textFill>
              </w:rPr>
              <w:t>畜禽粪</w:t>
            </w:r>
            <w:r>
              <w:rPr>
                <w:rFonts w:hint="default" w:ascii="Times New Roman" w:hAnsi="Times New Roman" w:cs="Times New Roman"/>
                <w:color w:val="000000" w:themeColor="text1"/>
                <w:sz w:val="24"/>
                <w:szCs w:val="24"/>
                <w:lang w:val="en-US" w:eastAsia="zh-CN"/>
                <w14:textFill>
                  <w14:solidFill>
                    <w14:schemeClr w14:val="tx1"/>
                  </w14:solidFill>
                </w14:textFill>
              </w:rPr>
              <w:t>6000吨，年处理</w:t>
            </w:r>
            <w:r>
              <w:rPr>
                <w:rFonts w:hint="eastAsia" w:cs="Times New Roman"/>
                <w:color w:val="000000" w:themeColor="text1"/>
                <w:sz w:val="24"/>
                <w:szCs w:val="24"/>
                <w:lang w:val="en-US" w:eastAsia="zh-CN"/>
                <w14:textFill>
                  <w14:solidFill>
                    <w14:schemeClr w14:val="tx1"/>
                  </w14:solidFill>
                </w14:textFill>
              </w:rPr>
              <w:t>菌渣12000吨，</w:t>
            </w:r>
            <w:r>
              <w:rPr>
                <w:rFonts w:hint="default" w:ascii="Times New Roman" w:hAnsi="Times New Roman" w:cs="Times New Roman"/>
                <w:color w:val="000000" w:themeColor="text1"/>
                <w:sz w:val="24"/>
                <w:szCs w:val="24"/>
                <w:lang w:val="en-US" w:eastAsia="zh-CN"/>
                <w14:textFill>
                  <w14:solidFill>
                    <w14:schemeClr w14:val="tx1"/>
                  </w14:solidFill>
                </w14:textFill>
              </w:rPr>
              <w:t>年处理秸秆</w:t>
            </w:r>
            <w:r>
              <w:rPr>
                <w:rFonts w:hint="eastAsia" w:cs="Times New Roman"/>
                <w:color w:val="000000" w:themeColor="text1"/>
                <w:sz w:val="24"/>
                <w:szCs w:val="24"/>
                <w:lang w:val="en-US" w:eastAsia="zh-CN"/>
                <w14:textFill>
                  <w14:solidFill>
                    <w14:schemeClr w14:val="tx1"/>
                  </w14:solidFill>
                </w14:textFill>
              </w:rPr>
              <w:t>12000</w:t>
            </w:r>
            <w:r>
              <w:rPr>
                <w:rFonts w:hint="default" w:ascii="Times New Roman" w:hAnsi="Times New Roman" w:cs="Times New Roman"/>
                <w:color w:val="000000" w:themeColor="text1"/>
                <w:sz w:val="24"/>
                <w:szCs w:val="24"/>
                <w:lang w:val="en-US" w:eastAsia="zh-CN"/>
                <w14:textFill>
                  <w14:solidFill>
                    <w14:schemeClr w14:val="tx1"/>
                  </w14:solidFill>
                </w14:textFill>
              </w:rPr>
              <w:t>吨。</w:t>
            </w:r>
            <w:r>
              <w:rPr>
                <w:rFonts w:hint="default" w:ascii="Times New Roman" w:hAnsi="Times New Roman" w:eastAsia="宋体" w:cs="Times New Roman"/>
                <w:color w:val="000000" w:themeColor="text1"/>
                <w:sz w:val="24"/>
                <w:szCs w:val="24"/>
                <w14:textFill>
                  <w14:solidFill>
                    <w14:schemeClr w14:val="tx1"/>
                  </w14:solidFill>
                </w14:textFill>
              </w:rPr>
              <w:t>本项目组成详见表2-1。</w:t>
            </w:r>
          </w:p>
          <w:p w14:paraId="50ADC541">
            <w:pPr>
              <w:keepNext w:val="0"/>
              <w:keepLines w:val="0"/>
              <w:pageBreakBefore w:val="0"/>
              <w:widowControl w:val="0"/>
              <w:kinsoku/>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表2-1  项目组成一览表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16"/>
              <w:gridCol w:w="5246"/>
              <w:gridCol w:w="853"/>
            </w:tblGrid>
            <w:tr w14:paraId="01169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noWrap w:val="0"/>
                  <w:vAlign w:val="center"/>
                </w:tcPr>
                <w:p w14:paraId="5A6F3F23">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类别</w:t>
                  </w:r>
                </w:p>
              </w:tc>
              <w:tc>
                <w:tcPr>
                  <w:tcW w:w="811" w:type="pct"/>
                  <w:noWrap w:val="0"/>
                  <w:vAlign w:val="center"/>
                </w:tcPr>
                <w:p w14:paraId="30B326B3">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项目名称</w:t>
                  </w:r>
                </w:p>
              </w:tc>
              <w:tc>
                <w:tcPr>
                  <w:tcW w:w="3235" w:type="pct"/>
                  <w:noWrap w:val="0"/>
                  <w:vAlign w:val="center"/>
                </w:tcPr>
                <w:p w14:paraId="388183FC">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项目组成</w:t>
                  </w:r>
                </w:p>
              </w:tc>
              <w:tc>
                <w:tcPr>
                  <w:tcW w:w="526" w:type="pct"/>
                  <w:noWrap w:val="0"/>
                  <w:vAlign w:val="center"/>
                </w:tcPr>
                <w:p w14:paraId="49C17A76">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备注</w:t>
                  </w:r>
                </w:p>
              </w:tc>
            </w:tr>
            <w:tr w14:paraId="2EBFC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noWrap w:val="0"/>
                  <w:vAlign w:val="center"/>
                </w:tcPr>
                <w:p w14:paraId="3C620F1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主体工程</w:t>
                  </w:r>
                </w:p>
              </w:tc>
              <w:tc>
                <w:tcPr>
                  <w:tcW w:w="811" w:type="pct"/>
                  <w:noWrap w:val="0"/>
                  <w:vAlign w:val="center"/>
                </w:tcPr>
                <w:p w14:paraId="3AAA656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发酵车间</w:t>
                  </w:r>
                </w:p>
              </w:tc>
              <w:tc>
                <w:tcPr>
                  <w:tcW w:w="3235" w:type="pct"/>
                  <w:shd w:val="clear" w:color="auto" w:fill="auto"/>
                  <w:noWrap w:val="0"/>
                  <w:vAlign w:val="center"/>
                </w:tcPr>
                <w:p w14:paraId="40FD0260">
                  <w:p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1层钢结构</w:t>
                  </w:r>
                  <w:r>
                    <w:rPr>
                      <w:rFonts w:hint="default" w:ascii="Times New Roman" w:hAnsi="Times New Roman" w:cs="Times New Roman"/>
                      <w:color w:val="000000" w:themeColor="text1"/>
                      <w:szCs w:val="21"/>
                      <w:lang w:val="en-US" w:eastAsia="zh-CN"/>
                      <w14:textFill>
                        <w14:solidFill>
                          <w14:schemeClr w14:val="tx1"/>
                        </w14:solidFill>
                      </w14:textFill>
                    </w:rPr>
                    <w:t>全密闭厂房</w:t>
                  </w:r>
                  <w:r>
                    <w:rPr>
                      <w:rFonts w:hint="default" w:ascii="Times New Roman" w:hAnsi="Times New Roman" w:eastAsia="宋体" w:cs="Times New Roman"/>
                      <w:color w:val="000000" w:themeColor="text1"/>
                      <w:szCs w:val="21"/>
                      <w14:textFill>
                        <w14:solidFill>
                          <w14:schemeClr w14:val="tx1"/>
                        </w14:solidFill>
                      </w14:textFill>
                    </w:rPr>
                    <w:t>，占地面积</w:t>
                  </w:r>
                  <w:r>
                    <w:rPr>
                      <w:rFonts w:hint="eastAsia" w:cs="Times New Roman"/>
                      <w:color w:val="000000" w:themeColor="text1"/>
                      <w:szCs w:val="21"/>
                      <w:lang w:val="en-US" w:eastAsia="zh-CN"/>
                      <w14:textFill>
                        <w14:solidFill>
                          <w14:schemeClr w14:val="tx1"/>
                        </w14:solidFill>
                      </w14:textFill>
                    </w:rPr>
                    <w:t>1963</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21.35</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91.06</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m</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发酵池</w:t>
                  </w:r>
                  <w:r>
                    <w:rPr>
                      <w:rFonts w:hint="eastAsia" w:cs="Times New Roman"/>
                      <w:color w:val="000000" w:themeColor="text1"/>
                      <w:szCs w:val="21"/>
                      <w:lang w:val="en-US" w:eastAsia="zh-CN"/>
                      <w14:textFill>
                        <w14:solidFill>
                          <w14:schemeClr w14:val="tx1"/>
                        </w14:solidFill>
                      </w14:textFill>
                    </w:rPr>
                    <w:t>1座，池子大小为35m*5m*1.7m</w:t>
                  </w:r>
                  <w:r>
                    <w:rPr>
                      <w:rFonts w:hint="default" w:ascii="Times New Roman" w:hAnsi="Times New Roman" w:cs="Times New Roman"/>
                      <w:color w:val="000000" w:themeColor="text1"/>
                      <w:szCs w:val="21"/>
                      <w:lang w:val="en-US" w:eastAsia="zh-CN"/>
                      <w14:textFill>
                        <w14:solidFill>
                          <w14:schemeClr w14:val="tx1"/>
                        </w14:solidFill>
                      </w14:textFill>
                    </w:rPr>
                    <w:t>、主要进行发酵</w:t>
                  </w:r>
                </w:p>
              </w:tc>
              <w:tc>
                <w:tcPr>
                  <w:tcW w:w="526" w:type="pct"/>
                  <w:vMerge w:val="restart"/>
                  <w:noWrap w:val="0"/>
                  <w:vAlign w:val="center"/>
                </w:tcPr>
                <w:p w14:paraId="6059AEE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已建成厂房+</w:t>
                  </w:r>
                  <w:r>
                    <w:rPr>
                      <w:rFonts w:hint="default" w:ascii="Times New Roman" w:hAnsi="Times New Roman" w:cs="Times New Roman"/>
                      <w:color w:val="000000" w:themeColor="text1"/>
                      <w:szCs w:val="21"/>
                      <w:lang w:val="en-US" w:eastAsia="zh-CN"/>
                      <w14:textFill>
                        <w14:solidFill>
                          <w14:schemeClr w14:val="tx1"/>
                        </w14:solidFill>
                      </w14:textFill>
                    </w:rPr>
                    <w:t>新建</w:t>
                  </w:r>
                </w:p>
              </w:tc>
            </w:tr>
            <w:tr w14:paraId="2AB4A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0CFAB0C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70C2B82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生产车间</w:t>
                  </w:r>
                </w:p>
              </w:tc>
              <w:tc>
                <w:tcPr>
                  <w:tcW w:w="3235" w:type="pct"/>
                  <w:shd w:val="clear" w:color="auto" w:fill="auto"/>
                  <w:noWrap w:val="0"/>
                  <w:vAlign w:val="center"/>
                </w:tcPr>
                <w:p w14:paraId="233DAB4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1层钢结构</w:t>
                  </w:r>
                  <w:r>
                    <w:rPr>
                      <w:rFonts w:hint="eastAsia" w:cs="Times New Roman"/>
                      <w:color w:val="000000" w:themeColor="text1"/>
                      <w:szCs w:val="21"/>
                      <w:lang w:val="en-US" w:eastAsia="zh-CN"/>
                      <w14:textFill>
                        <w14:solidFill>
                          <w14:schemeClr w14:val="tx1"/>
                        </w14:solidFill>
                      </w14:textFill>
                    </w:rPr>
                    <w:t>+砖混结构</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占地面积</w:t>
                  </w:r>
                  <w:r>
                    <w:rPr>
                      <w:rFonts w:hint="eastAsia" w:cs="Times New Roman"/>
                      <w:color w:val="000000" w:themeColor="text1"/>
                      <w:szCs w:val="21"/>
                      <w:lang w:val="en-US" w:eastAsia="zh-CN"/>
                      <w14:textFill>
                        <w14:solidFill>
                          <w14:schemeClr w14:val="tx1"/>
                        </w14:solidFill>
                      </w14:textFill>
                    </w:rPr>
                    <w:t>3368</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cs="Times New Roman"/>
                      <w:color w:val="000000" w:themeColor="text1"/>
                      <w:szCs w:val="21"/>
                      <w:vertAlign w:val="baseline"/>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车间内</w:t>
                  </w:r>
                  <w:r>
                    <w:rPr>
                      <w:rFonts w:hint="default" w:ascii="Times New Roman" w:hAnsi="Times New Roman" w:cs="Times New Roman"/>
                      <w:color w:val="000000" w:themeColor="text1"/>
                      <w:szCs w:val="21"/>
                      <w:lang w:val="en-US" w:eastAsia="zh-CN"/>
                      <w14:textFill>
                        <w14:solidFill>
                          <w14:schemeClr w14:val="tx1"/>
                        </w14:solidFill>
                      </w14:textFill>
                    </w:rPr>
                    <w:t>主要进行成品的生产和包装，安装粉碎机、筛分机、造粒机</w:t>
                  </w:r>
                  <w:r>
                    <w:rPr>
                      <w:rFonts w:hint="eastAsia" w:cs="Times New Roman"/>
                      <w:color w:val="000000" w:themeColor="text1"/>
                      <w:szCs w:val="21"/>
                      <w:lang w:val="en-US" w:eastAsia="zh-CN"/>
                      <w14:textFill>
                        <w14:solidFill>
                          <w14:schemeClr w14:val="tx1"/>
                        </w14:solidFill>
                      </w14:textFill>
                    </w:rPr>
                    <w:t>、烘干机</w:t>
                  </w:r>
                  <w:r>
                    <w:rPr>
                      <w:rFonts w:hint="default" w:ascii="Times New Roman" w:hAnsi="Times New Roman" w:cs="Times New Roman"/>
                      <w:color w:val="000000" w:themeColor="text1"/>
                      <w:szCs w:val="21"/>
                      <w:lang w:val="en-US" w:eastAsia="zh-CN"/>
                      <w14:textFill>
                        <w14:solidFill>
                          <w14:schemeClr w14:val="tx1"/>
                        </w14:solidFill>
                      </w14:textFill>
                    </w:rPr>
                    <w:t>等设备</w:t>
                  </w:r>
                </w:p>
              </w:tc>
              <w:tc>
                <w:tcPr>
                  <w:tcW w:w="526" w:type="pct"/>
                  <w:vMerge w:val="continue"/>
                  <w:noWrap w:val="0"/>
                  <w:vAlign w:val="center"/>
                </w:tcPr>
                <w:p w14:paraId="35B4A7D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40835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6D7DFF2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2FFE62BD">
                  <w:pPr>
                    <w:adjustRightInd w:val="0"/>
                    <w:snapToGrid w:val="0"/>
                    <w:jc w:val="center"/>
                    <w:rPr>
                      <w:rFonts w:hint="default" w:cs="Times New Roman"/>
                      <w:color w:val="0000FF"/>
                      <w:szCs w:val="21"/>
                      <w:lang w:val="en-US" w:eastAsia="zh-CN"/>
                    </w:rPr>
                  </w:pPr>
                  <w:r>
                    <w:rPr>
                      <w:rFonts w:hint="eastAsia" w:cs="Times New Roman"/>
                      <w:color w:val="0000FF"/>
                      <w:szCs w:val="21"/>
                      <w:lang w:val="en-US" w:eastAsia="zh-CN"/>
                    </w:rPr>
                    <w:t>生物菌扩繁间</w:t>
                  </w:r>
                </w:p>
              </w:tc>
              <w:tc>
                <w:tcPr>
                  <w:tcW w:w="3235" w:type="pct"/>
                  <w:shd w:val="clear" w:color="auto" w:fill="auto"/>
                  <w:noWrap w:val="0"/>
                  <w:vAlign w:val="center"/>
                </w:tcPr>
                <w:p w14:paraId="703555E4">
                  <w:pPr>
                    <w:adjustRightInd w:val="0"/>
                    <w:snapToGrid w:val="0"/>
                    <w:jc w:val="center"/>
                    <w:rPr>
                      <w:rFonts w:hint="default" w:ascii="Times New Roman" w:hAnsi="Times New Roman" w:eastAsia="宋体" w:cs="Times New Roman"/>
                      <w:color w:val="0000FF"/>
                      <w:szCs w:val="21"/>
                      <w:lang w:val="en-US" w:eastAsia="zh-CN"/>
                    </w:rPr>
                  </w:pPr>
                  <w:r>
                    <w:rPr>
                      <w:rFonts w:hint="eastAsia" w:cs="Times New Roman"/>
                      <w:color w:val="0000FF"/>
                      <w:szCs w:val="21"/>
                      <w:lang w:val="en-US" w:eastAsia="zh-CN"/>
                    </w:rPr>
                    <w:t>1层砖混结构，占地面积74</w:t>
                  </w:r>
                  <w:r>
                    <w:rPr>
                      <w:rFonts w:hint="default" w:ascii="Times New Roman" w:hAnsi="Times New Roman" w:cs="Times New Roman"/>
                      <w:color w:val="0000FF"/>
                      <w:szCs w:val="21"/>
                      <w:lang w:val="en-US" w:eastAsia="zh-CN"/>
                    </w:rPr>
                    <w:t>m</w:t>
                  </w:r>
                  <w:r>
                    <w:rPr>
                      <w:rFonts w:hint="default" w:ascii="Times New Roman" w:hAnsi="Times New Roman" w:cs="Times New Roman"/>
                      <w:color w:val="0000FF"/>
                      <w:szCs w:val="21"/>
                      <w:vertAlign w:val="superscript"/>
                      <w:lang w:val="en-US" w:eastAsia="zh-CN"/>
                    </w:rPr>
                    <w:t>2</w:t>
                  </w:r>
                  <w:r>
                    <w:rPr>
                      <w:rFonts w:hint="eastAsia" w:cs="Times New Roman"/>
                      <w:color w:val="0000FF"/>
                      <w:szCs w:val="21"/>
                      <w:vertAlign w:val="baseline"/>
                      <w:lang w:val="en-US" w:eastAsia="zh-CN"/>
                    </w:rPr>
                    <w:t>，主要安装扩繁罐2个，装置1套</w:t>
                  </w:r>
                </w:p>
              </w:tc>
              <w:tc>
                <w:tcPr>
                  <w:tcW w:w="526" w:type="pct"/>
                  <w:vMerge w:val="continue"/>
                  <w:noWrap w:val="0"/>
                  <w:vAlign w:val="center"/>
                </w:tcPr>
                <w:p w14:paraId="5D08995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49B6C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restart"/>
                  <w:noWrap w:val="0"/>
                  <w:vAlign w:val="center"/>
                </w:tcPr>
                <w:p w14:paraId="0429E823">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储运工程</w:t>
                  </w:r>
                </w:p>
              </w:tc>
              <w:tc>
                <w:tcPr>
                  <w:tcW w:w="811" w:type="pct"/>
                  <w:noWrap w:val="0"/>
                  <w:vAlign w:val="center"/>
                </w:tcPr>
                <w:p w14:paraId="6D411F01">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运输（厂内）</w:t>
                  </w:r>
                </w:p>
              </w:tc>
              <w:tc>
                <w:tcPr>
                  <w:tcW w:w="3235" w:type="pct"/>
                  <w:shd w:val="clear" w:color="auto" w:fill="auto"/>
                  <w:noWrap w:val="0"/>
                  <w:vAlign w:val="center"/>
                </w:tcPr>
                <w:p w14:paraId="44C63825">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厂内生产车间设备之间均采用皮带运输</w:t>
                  </w:r>
                </w:p>
              </w:tc>
              <w:tc>
                <w:tcPr>
                  <w:tcW w:w="526" w:type="pct"/>
                  <w:vMerge w:val="restart"/>
                  <w:noWrap w:val="0"/>
                  <w:vAlign w:val="center"/>
                </w:tcPr>
                <w:p w14:paraId="34FCB92F">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已建成厂房+</w:t>
                  </w:r>
                  <w:r>
                    <w:rPr>
                      <w:rFonts w:hint="default" w:ascii="Times New Roman" w:hAnsi="Times New Roman" w:cs="Times New Roman"/>
                      <w:color w:val="000000" w:themeColor="text1"/>
                      <w:szCs w:val="21"/>
                      <w:lang w:val="en-US" w:eastAsia="zh-CN"/>
                      <w14:textFill>
                        <w14:solidFill>
                          <w14:schemeClr w14:val="tx1"/>
                        </w14:solidFill>
                      </w14:textFill>
                    </w:rPr>
                    <w:t>新建</w:t>
                  </w:r>
                </w:p>
              </w:tc>
            </w:tr>
            <w:tr w14:paraId="40BF8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6" w:type="pct"/>
                  <w:vMerge w:val="continue"/>
                  <w:noWrap w:val="0"/>
                  <w:vAlign w:val="center"/>
                </w:tcPr>
                <w:p w14:paraId="743F9363">
                  <w:pPr>
                    <w:adjustRightInd w:val="0"/>
                    <w:snapToGrid w:val="0"/>
                    <w:jc w:val="center"/>
                  </w:pPr>
                </w:p>
              </w:tc>
              <w:tc>
                <w:tcPr>
                  <w:tcW w:w="811" w:type="pct"/>
                  <w:noWrap w:val="0"/>
                  <w:vAlign w:val="center"/>
                </w:tcPr>
                <w:p w14:paraId="7C53B473">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运输（厂外）</w:t>
                  </w:r>
                </w:p>
              </w:tc>
              <w:tc>
                <w:tcPr>
                  <w:tcW w:w="3235" w:type="pct"/>
                  <w:shd w:val="clear" w:color="auto" w:fill="auto"/>
                  <w:noWrap w:val="0"/>
                  <w:vAlign w:val="center"/>
                </w:tcPr>
                <w:p w14:paraId="2AC6C8DC">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采取专门运输粪污车辆，车辆</w:t>
                  </w:r>
                  <w:r>
                    <w:rPr>
                      <w:rFonts w:hint="eastAsia" w:cs="Times New Roman"/>
                      <w:color w:val="000000" w:themeColor="text1"/>
                      <w:szCs w:val="21"/>
                      <w:lang w:val="en-US" w:eastAsia="zh-CN"/>
                      <w14:textFill>
                        <w14:solidFill>
                          <w14:schemeClr w14:val="tx1"/>
                        </w14:solidFill>
                      </w14:textFill>
                    </w:rPr>
                    <w:t>为</w:t>
                  </w:r>
                  <w:r>
                    <w:rPr>
                      <w:rFonts w:hint="default" w:ascii="Times New Roman" w:hAnsi="Times New Roman" w:cs="Times New Roman"/>
                      <w:color w:val="000000" w:themeColor="text1"/>
                      <w:szCs w:val="21"/>
                      <w:lang w:val="en-US" w:eastAsia="zh-CN"/>
                      <w14:textFill>
                        <w14:solidFill>
                          <w14:schemeClr w14:val="tx1"/>
                        </w14:solidFill>
                      </w14:textFill>
                    </w:rPr>
                    <w:t>全密闭</w:t>
                  </w:r>
                </w:p>
              </w:tc>
              <w:tc>
                <w:tcPr>
                  <w:tcW w:w="526" w:type="pct"/>
                  <w:vMerge w:val="continue"/>
                  <w:noWrap w:val="0"/>
                  <w:vAlign w:val="center"/>
                </w:tcPr>
                <w:p w14:paraId="689AA532">
                  <w:pPr>
                    <w:adjustRightInd w:val="0"/>
                    <w:snapToGrid w:val="0"/>
                    <w:jc w:val="center"/>
                    <w:rPr>
                      <w:rFonts w:hint="eastAsia" w:cs="Times New Roman"/>
                      <w:color w:val="000000" w:themeColor="text1"/>
                      <w:szCs w:val="21"/>
                      <w:lang w:val="en-US" w:eastAsia="zh-CN"/>
                      <w14:textFill>
                        <w14:solidFill>
                          <w14:schemeClr w14:val="tx1"/>
                        </w14:solidFill>
                      </w14:textFill>
                    </w:rPr>
                  </w:pPr>
                </w:p>
              </w:tc>
            </w:tr>
            <w:tr w14:paraId="77BB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6" w:type="pct"/>
                  <w:vMerge w:val="continue"/>
                  <w:noWrap w:val="0"/>
                  <w:vAlign w:val="center"/>
                </w:tcPr>
                <w:p w14:paraId="0CF30D4E">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11" w:type="pct"/>
                  <w:noWrap w:val="0"/>
                  <w:vAlign w:val="center"/>
                </w:tcPr>
                <w:p w14:paraId="1301E93C">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原料储存</w:t>
                  </w:r>
                </w:p>
              </w:tc>
              <w:tc>
                <w:tcPr>
                  <w:tcW w:w="3235" w:type="pct"/>
                  <w:shd w:val="clear" w:color="auto" w:fill="auto"/>
                  <w:noWrap w:val="0"/>
                  <w:vAlign w:val="center"/>
                </w:tcPr>
                <w:p w14:paraId="775F0242">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畜禽粪量进厂后直接进入发酵车间进行发酵，厂区内仅秸秆、菌渣、生物菌，根据生产周期进行采购，进厂后暂存于发酵车间</w:t>
                  </w:r>
                </w:p>
              </w:tc>
              <w:tc>
                <w:tcPr>
                  <w:tcW w:w="526" w:type="pct"/>
                  <w:vMerge w:val="continue"/>
                  <w:noWrap w:val="0"/>
                  <w:vAlign w:val="center"/>
                </w:tcPr>
                <w:p w14:paraId="5F5DDF07">
                  <w:pPr>
                    <w:adjustRightInd w:val="0"/>
                    <w:snapToGrid w:val="0"/>
                    <w:jc w:val="center"/>
                    <w:rPr>
                      <w:rFonts w:hint="eastAsia" w:cs="Times New Roman"/>
                      <w:color w:val="000000" w:themeColor="text1"/>
                      <w:szCs w:val="21"/>
                      <w:lang w:val="en-US" w:eastAsia="zh-CN"/>
                      <w14:textFill>
                        <w14:solidFill>
                          <w14:schemeClr w14:val="tx1"/>
                        </w14:solidFill>
                      </w14:textFill>
                    </w:rPr>
                  </w:pPr>
                </w:p>
              </w:tc>
            </w:tr>
            <w:tr w14:paraId="627DE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6" w:type="pct"/>
                  <w:vMerge w:val="continue"/>
                  <w:noWrap w:val="0"/>
                  <w:vAlign w:val="center"/>
                </w:tcPr>
                <w:p w14:paraId="22BDE2A9">
                  <w:pPr>
                    <w:adjustRightInd w:val="0"/>
                    <w:snapToGrid w:val="0"/>
                    <w:jc w:val="center"/>
                    <w:rPr>
                      <w:rFonts w:hint="eastAsia" w:cs="Times New Roman"/>
                      <w:color w:val="000000" w:themeColor="text1"/>
                      <w:szCs w:val="21"/>
                      <w:lang w:val="en-US" w:eastAsia="zh-CN"/>
                      <w14:textFill>
                        <w14:solidFill>
                          <w14:schemeClr w14:val="tx1"/>
                        </w14:solidFill>
                      </w14:textFill>
                    </w:rPr>
                  </w:pPr>
                </w:p>
              </w:tc>
              <w:tc>
                <w:tcPr>
                  <w:tcW w:w="811" w:type="pct"/>
                  <w:noWrap w:val="0"/>
                  <w:vAlign w:val="center"/>
                </w:tcPr>
                <w:p w14:paraId="7E23FC30">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成品库房</w:t>
                  </w:r>
                </w:p>
              </w:tc>
              <w:tc>
                <w:tcPr>
                  <w:tcW w:w="3235" w:type="pct"/>
                  <w:shd w:val="clear" w:color="auto" w:fill="auto"/>
                  <w:noWrap w:val="0"/>
                  <w:vAlign w:val="center"/>
                </w:tcPr>
                <w:p w14:paraId="5E21A447">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位于生产车间内西侧区域，用于成品肥料的堆放</w:t>
                  </w:r>
                </w:p>
              </w:tc>
              <w:tc>
                <w:tcPr>
                  <w:tcW w:w="526" w:type="pct"/>
                  <w:vMerge w:val="continue"/>
                  <w:noWrap w:val="0"/>
                  <w:vAlign w:val="center"/>
                </w:tcPr>
                <w:p w14:paraId="7F4522C3">
                  <w:pPr>
                    <w:adjustRightInd w:val="0"/>
                    <w:snapToGrid w:val="0"/>
                    <w:jc w:val="center"/>
                    <w:rPr>
                      <w:rFonts w:hint="eastAsia" w:cs="Times New Roman"/>
                      <w:color w:val="000000" w:themeColor="text1"/>
                      <w:szCs w:val="21"/>
                      <w:lang w:val="en-US" w:eastAsia="zh-CN"/>
                      <w14:textFill>
                        <w14:solidFill>
                          <w14:schemeClr w14:val="tx1"/>
                        </w14:solidFill>
                      </w14:textFill>
                    </w:rPr>
                  </w:pPr>
                </w:p>
              </w:tc>
            </w:tr>
            <w:tr w14:paraId="07FF3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6" w:type="pct"/>
                  <w:noWrap w:val="0"/>
                  <w:vAlign w:val="center"/>
                </w:tcPr>
                <w:p w14:paraId="395F7E56">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辅助工程</w:t>
                  </w:r>
                </w:p>
              </w:tc>
              <w:tc>
                <w:tcPr>
                  <w:tcW w:w="811" w:type="pct"/>
                  <w:noWrap w:val="0"/>
                  <w:vAlign w:val="center"/>
                </w:tcPr>
                <w:p w14:paraId="12611D6C">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办公室</w:t>
                  </w:r>
                </w:p>
              </w:tc>
              <w:tc>
                <w:tcPr>
                  <w:tcW w:w="3235" w:type="pct"/>
                  <w:shd w:val="clear" w:color="auto" w:fill="auto"/>
                  <w:noWrap w:val="0"/>
                  <w:vAlign w:val="center"/>
                </w:tcPr>
                <w:p w14:paraId="753E6F23">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1F，砖混结构，位于厂区西侧，</w:t>
                  </w:r>
                  <w:r>
                    <w:rPr>
                      <w:rFonts w:hint="default" w:cs="Times New Roman"/>
                      <w:color w:val="000000" w:themeColor="text1"/>
                      <w:szCs w:val="21"/>
                      <w:lang w:val="en-US" w:eastAsia="zh-CN"/>
                      <w14:textFill>
                        <w14:solidFill>
                          <w14:schemeClr w14:val="tx1"/>
                        </w14:solidFill>
                      </w14:textFill>
                    </w:rPr>
                    <w:t>磷肥厂</w:t>
                  </w:r>
                  <w:r>
                    <w:rPr>
                      <w:rFonts w:hint="eastAsia" w:cs="Times New Roman"/>
                      <w:color w:val="000000" w:themeColor="text1"/>
                      <w:szCs w:val="21"/>
                      <w:lang w:val="en-US" w:eastAsia="zh-CN"/>
                      <w14:textFill>
                        <w14:solidFill>
                          <w14:schemeClr w14:val="tx1"/>
                        </w14:solidFill>
                      </w14:textFill>
                    </w:rPr>
                    <w:t>现有办公用房，用于日常办公及工人临时休息</w:t>
                  </w:r>
                </w:p>
              </w:tc>
              <w:tc>
                <w:tcPr>
                  <w:tcW w:w="526" w:type="pct"/>
                  <w:noWrap w:val="0"/>
                  <w:vAlign w:val="center"/>
                </w:tcPr>
                <w:p w14:paraId="2D6DB17D">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依托已建成</w:t>
                  </w:r>
                </w:p>
              </w:tc>
            </w:tr>
            <w:tr w14:paraId="249B0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noWrap w:val="0"/>
                  <w:vAlign w:val="center"/>
                </w:tcPr>
                <w:p w14:paraId="5D53E2B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公用工程</w:t>
                  </w:r>
                </w:p>
              </w:tc>
              <w:tc>
                <w:tcPr>
                  <w:tcW w:w="811" w:type="pct"/>
                  <w:noWrap w:val="0"/>
                  <w:vAlign w:val="center"/>
                </w:tcPr>
                <w:p w14:paraId="58F3567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供电</w:t>
                  </w:r>
                </w:p>
              </w:tc>
              <w:tc>
                <w:tcPr>
                  <w:tcW w:w="3235" w:type="pct"/>
                  <w:noWrap w:val="0"/>
                  <w:vAlign w:val="center"/>
                </w:tcPr>
                <w:p w14:paraId="79BB259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w:t>
                  </w:r>
                  <w:r>
                    <w:rPr>
                      <w:rFonts w:hint="default" w:ascii="Times New Roman" w:hAnsi="Times New Roman" w:eastAsia="宋体" w:cs="Times New Roman"/>
                      <w:color w:val="000000" w:themeColor="text1"/>
                      <w:szCs w:val="21"/>
                      <w:lang w:eastAsia="zh-CN"/>
                      <w14:textFill>
                        <w14:solidFill>
                          <w14:schemeClr w14:val="tx1"/>
                        </w14:solidFill>
                      </w14:textFill>
                    </w:rPr>
                    <w:t>市政</w:t>
                  </w:r>
                  <w:r>
                    <w:rPr>
                      <w:rFonts w:hint="default" w:ascii="Times New Roman" w:hAnsi="Times New Roman" w:eastAsia="宋体" w:cs="Times New Roman"/>
                      <w:color w:val="000000" w:themeColor="text1"/>
                      <w:szCs w:val="21"/>
                      <w14:textFill>
                        <w14:solidFill>
                          <w14:schemeClr w14:val="tx1"/>
                        </w14:solidFill>
                      </w14:textFill>
                    </w:rPr>
                    <w:t>供电系统供给</w:t>
                  </w:r>
                </w:p>
              </w:tc>
              <w:tc>
                <w:tcPr>
                  <w:tcW w:w="526" w:type="pct"/>
                  <w:noWrap w:val="0"/>
                  <w:vAlign w:val="center"/>
                </w:tcPr>
                <w:p w14:paraId="7054ACA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依托已建成</w:t>
                  </w:r>
                </w:p>
              </w:tc>
            </w:tr>
            <w:tr w14:paraId="11A01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1634B27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280C0B0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供水</w:t>
                  </w:r>
                </w:p>
              </w:tc>
              <w:tc>
                <w:tcPr>
                  <w:tcW w:w="3235" w:type="pct"/>
                  <w:noWrap w:val="0"/>
                  <w:vAlign w:val="center"/>
                </w:tcPr>
                <w:p w14:paraId="033C119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w:t>
                  </w:r>
                  <w:r>
                    <w:rPr>
                      <w:rFonts w:hint="default" w:ascii="Times New Roman" w:hAnsi="Times New Roman" w:cs="Times New Roman"/>
                      <w:color w:val="000000" w:themeColor="text1"/>
                      <w:szCs w:val="21"/>
                      <w:lang w:val="en-US" w:eastAsia="zh-CN"/>
                      <w14:textFill>
                        <w14:solidFill>
                          <w14:schemeClr w14:val="tx1"/>
                        </w14:solidFill>
                      </w14:textFill>
                    </w:rPr>
                    <w:t>当地</w:t>
                  </w:r>
                  <w:r>
                    <w:rPr>
                      <w:rFonts w:hint="default" w:ascii="Times New Roman" w:hAnsi="Times New Roman" w:eastAsia="宋体" w:cs="Times New Roman"/>
                      <w:color w:val="000000" w:themeColor="text1"/>
                      <w:szCs w:val="21"/>
                      <w14:textFill>
                        <w14:solidFill>
                          <w14:schemeClr w14:val="tx1"/>
                        </w14:solidFill>
                      </w14:textFill>
                    </w:rPr>
                    <w:t>自来水管网提供</w:t>
                  </w:r>
                </w:p>
              </w:tc>
              <w:tc>
                <w:tcPr>
                  <w:tcW w:w="526" w:type="pct"/>
                  <w:noWrap w:val="0"/>
                  <w:vAlign w:val="center"/>
                </w:tcPr>
                <w:p w14:paraId="1409D75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依托已建成</w:t>
                  </w:r>
                </w:p>
              </w:tc>
            </w:tr>
            <w:tr w14:paraId="12579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003A530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2E69368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排水</w:t>
                  </w:r>
                </w:p>
              </w:tc>
              <w:tc>
                <w:tcPr>
                  <w:tcW w:w="3235" w:type="pct"/>
                  <w:noWrap w:val="0"/>
                  <w:vAlign w:val="center"/>
                </w:tcPr>
                <w:p w14:paraId="3CEDF99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罐体清洗废水经塑料桶收集后拉运堆肥，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渗滤液</w:t>
                  </w:r>
                  <w:r>
                    <w:rPr>
                      <w:rFonts w:hint="eastAsia" w:cs="Times New Roman"/>
                      <w:color w:val="000000" w:themeColor="text1"/>
                      <w:sz w:val="21"/>
                      <w:szCs w:val="21"/>
                      <w:lang w:val="en-US" w:eastAsia="zh-CN"/>
                      <w14:textFill>
                        <w14:solidFill>
                          <w14:schemeClr w14:val="tx1"/>
                        </w14:solidFill>
                      </w14:textFill>
                    </w:rPr>
                    <w:t>经收集后拉运堆肥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。生活污水经</w:t>
                  </w:r>
                  <w:r>
                    <w:rPr>
                      <w:rFonts w:hint="eastAsia" w:cs="Times New Roman"/>
                      <w:color w:val="000000" w:themeColor="text1"/>
                      <w:sz w:val="21"/>
                      <w:szCs w:val="21"/>
                      <w:lang w:val="en-US" w:eastAsia="zh-CN"/>
                      <w14:textFill>
                        <w14:solidFill>
                          <w14:schemeClr w14:val="tx1"/>
                        </w14:solidFill>
                      </w14:textFill>
                    </w:rPr>
                    <w:t>化粪池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处理后拉运</w:t>
                  </w:r>
                  <w:r>
                    <w:rPr>
                      <w:rFonts w:hint="eastAsia" w:cs="Times New Roman"/>
                      <w:color w:val="000000" w:themeColor="text1"/>
                      <w:sz w:val="21"/>
                      <w:szCs w:val="21"/>
                      <w:lang w:val="en-US" w:eastAsia="zh-CN"/>
                      <w14:textFill>
                        <w14:solidFill>
                          <w14:schemeClr w14:val="tx1"/>
                        </w14:solidFill>
                      </w14:textFill>
                    </w:rPr>
                    <w:t>堆肥</w:t>
                  </w:r>
                </w:p>
              </w:tc>
              <w:tc>
                <w:tcPr>
                  <w:tcW w:w="526" w:type="pct"/>
                  <w:noWrap w:val="0"/>
                  <w:vAlign w:val="center"/>
                </w:tcPr>
                <w:p w14:paraId="30BCF7B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新建</w:t>
                  </w:r>
                </w:p>
              </w:tc>
            </w:tr>
            <w:tr w14:paraId="3B1CB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noWrap w:val="0"/>
                  <w:vAlign w:val="center"/>
                </w:tcPr>
                <w:p w14:paraId="28EB5B4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环保工程</w:t>
                  </w:r>
                </w:p>
              </w:tc>
              <w:tc>
                <w:tcPr>
                  <w:tcW w:w="811" w:type="pct"/>
                  <w:vMerge w:val="restart"/>
                  <w:noWrap w:val="0"/>
                  <w:vAlign w:val="center"/>
                </w:tcPr>
                <w:p w14:paraId="49D9F13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废气处理措施</w:t>
                  </w:r>
                </w:p>
              </w:tc>
              <w:tc>
                <w:tcPr>
                  <w:tcW w:w="3235" w:type="pct"/>
                  <w:noWrap w:val="0"/>
                  <w:vAlign w:val="center"/>
                </w:tcPr>
                <w:p w14:paraId="5F7E135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切割、粉碎、筛分</w:t>
                  </w:r>
                  <w:r>
                    <w:rPr>
                      <w:rFonts w:hint="default" w:ascii="Times New Roman" w:hAnsi="Times New Roman" w:cs="Times New Roman"/>
                      <w:color w:val="000000" w:themeColor="text1"/>
                      <w:szCs w:val="21"/>
                      <w:lang w:val="en-US" w:eastAsia="zh-CN"/>
                      <w14:textFill>
                        <w14:solidFill>
                          <w14:schemeClr w14:val="tx1"/>
                        </w14:solidFill>
                      </w14:textFill>
                    </w:rPr>
                    <w:t>过程产生的颗粒物在产尘区域上方设置集气罩，经旋风除尘+</w:t>
                  </w:r>
                  <w:r>
                    <w:rPr>
                      <w:rFonts w:hint="eastAsia" w:ascii="Times New Roman" w:hAnsi="Times New Roman" w:cs="Times New Roman"/>
                      <w:color w:val="000000" w:themeColor="text1"/>
                      <w:szCs w:val="21"/>
                      <w:lang w:val="en-US" w:eastAsia="zh-CN"/>
                      <w14:textFill>
                        <w14:solidFill>
                          <w14:schemeClr w14:val="tx1"/>
                        </w14:solidFill>
                      </w14:textFill>
                    </w:rPr>
                    <w:t>布袋除尘+二级</w:t>
                  </w:r>
                  <w:r>
                    <w:rPr>
                      <w:rFonts w:hint="default" w:ascii="Times New Roman" w:hAnsi="Times New Roman" w:cs="Times New Roman"/>
                      <w:color w:val="000000" w:themeColor="text1"/>
                      <w:szCs w:val="21"/>
                      <w:lang w:val="en-US" w:eastAsia="zh-CN"/>
                      <w14:textFill>
                        <w14:solidFill>
                          <w14:schemeClr w14:val="tx1"/>
                        </w14:solidFill>
                      </w14:textFill>
                    </w:rPr>
                    <w:t>除尘室</w:t>
                  </w:r>
                  <w:r>
                    <w:rPr>
                      <w:rFonts w:hint="eastAsia" w:ascii="Times New Roman" w:hAnsi="Times New Roman" w:cs="Times New Roman"/>
                      <w:color w:val="000000" w:themeColor="text1"/>
                      <w:szCs w:val="21"/>
                      <w:lang w:val="en-US" w:eastAsia="zh-CN"/>
                      <w14:textFill>
                        <w14:solidFill>
                          <w14:schemeClr w14:val="tx1"/>
                        </w14:solidFill>
                      </w14:textFill>
                    </w:rPr>
                    <w:t>处理</w:t>
                  </w:r>
                  <w:r>
                    <w:rPr>
                      <w:rFonts w:hint="default" w:ascii="Times New Roman" w:hAnsi="Times New Roman" w:cs="Times New Roman"/>
                      <w:color w:val="000000" w:themeColor="text1"/>
                      <w:szCs w:val="21"/>
                      <w:lang w:val="en-US" w:eastAsia="zh-CN"/>
                      <w14:textFill>
                        <w14:solidFill>
                          <w14:schemeClr w14:val="tx1"/>
                        </w14:solidFill>
                      </w14:textFill>
                    </w:rPr>
                    <w:t>后经15m高排气筒</w:t>
                  </w:r>
                  <w:r>
                    <w:rPr>
                      <w:rFonts w:hint="eastAsia"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lang w:val="en-US" w:eastAsia="zh-CN"/>
                      <w14:textFill>
                        <w14:solidFill>
                          <w14:schemeClr w14:val="tx1"/>
                        </w14:solidFill>
                      </w14:textFill>
                    </w:rPr>
                    <w:t>排放</w:t>
                  </w:r>
                  <w:r>
                    <w:rPr>
                      <w:rFonts w:hint="eastAsia" w:ascii="Times New Roman" w:hAnsi="Times New Roman" w:cs="Times New Roman"/>
                      <w:color w:val="000000" w:themeColor="text1"/>
                      <w:szCs w:val="21"/>
                      <w:lang w:val="en-US" w:eastAsia="zh-CN"/>
                      <w14:textFill>
                        <w14:solidFill>
                          <w14:schemeClr w14:val="tx1"/>
                        </w14:solidFill>
                      </w14:textFill>
                    </w:rPr>
                    <w:t>，车间内均采用皮带运输。</w:t>
                  </w:r>
                </w:p>
              </w:tc>
              <w:tc>
                <w:tcPr>
                  <w:tcW w:w="526" w:type="pct"/>
                  <w:noWrap w:val="0"/>
                  <w:vAlign w:val="center"/>
                </w:tcPr>
                <w:p w14:paraId="6E995E1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41D62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2FBA786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vMerge w:val="continue"/>
                  <w:noWrap w:val="0"/>
                  <w:vAlign w:val="center"/>
                </w:tcPr>
                <w:p w14:paraId="36D1989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235" w:type="pct"/>
                  <w:noWrap w:val="0"/>
                  <w:vAlign w:val="center"/>
                </w:tcPr>
                <w:p w14:paraId="2F0E489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发酵过程产生的恶臭经集</w:t>
                  </w:r>
                  <w:r>
                    <w:rPr>
                      <w:rFonts w:hint="eastAsia" w:ascii="Times New Roman" w:hAnsi="Times New Roman" w:cs="Times New Roman"/>
                      <w:color w:val="000000" w:themeColor="text1"/>
                      <w:szCs w:val="21"/>
                      <w:lang w:val="en-US" w:eastAsia="zh-CN"/>
                      <w14:textFill>
                        <w14:solidFill>
                          <w14:schemeClr w14:val="tx1"/>
                        </w14:solidFill>
                      </w14:textFill>
                    </w:rPr>
                    <w:t>气</w:t>
                  </w:r>
                  <w:r>
                    <w:rPr>
                      <w:rFonts w:hint="default" w:ascii="Times New Roman" w:hAnsi="Times New Roman" w:cs="Times New Roman"/>
                      <w:color w:val="000000" w:themeColor="text1"/>
                      <w:szCs w:val="21"/>
                      <w:lang w:val="en-US" w:eastAsia="zh-CN"/>
                      <w14:textFill>
                        <w14:solidFill>
                          <w14:schemeClr w14:val="tx1"/>
                        </w14:solidFill>
                      </w14:textFill>
                    </w:rPr>
                    <w:t>系统收集后由一体化</w:t>
                  </w:r>
                  <w:r>
                    <w:rPr>
                      <w:rFonts w:hint="eastAsia" w:cs="Times New Roman"/>
                      <w:color w:val="000000" w:themeColor="text1"/>
                      <w:szCs w:val="21"/>
                      <w:lang w:val="en-US" w:eastAsia="zh-CN"/>
                      <w14:textFill>
                        <w14:solidFill>
                          <w14:schemeClr w14:val="tx1"/>
                        </w14:solidFill>
                      </w14:textFill>
                    </w:rPr>
                    <w:t>生物除臭装置</w:t>
                  </w:r>
                  <w:r>
                    <w:rPr>
                      <w:rFonts w:hint="default" w:ascii="Times New Roman" w:hAnsi="Times New Roman" w:cs="Times New Roman"/>
                      <w:color w:val="000000" w:themeColor="text1"/>
                      <w:szCs w:val="21"/>
                      <w:lang w:val="en-US" w:eastAsia="zh-CN"/>
                      <w14:textFill>
                        <w14:solidFill>
                          <w14:schemeClr w14:val="tx1"/>
                        </w14:solidFill>
                      </w14:textFill>
                    </w:rPr>
                    <w:t>处理，经15m高排气筒</w:t>
                  </w:r>
                  <w:r>
                    <w:rPr>
                      <w:rFonts w:hint="eastAsia" w:ascii="Times New Roman" w:hAnsi="Times New Roman" w:cs="Times New Roman"/>
                      <w:color w:val="000000" w:themeColor="text1"/>
                      <w:szCs w:val="21"/>
                      <w:lang w:val="en-US" w:eastAsia="zh-CN"/>
                      <w14:textFill>
                        <w14:solidFill>
                          <w14:schemeClr w14:val="tx1"/>
                        </w14:solidFill>
                      </w14:textFill>
                    </w:rPr>
                    <w:t>（DA002）</w:t>
                  </w:r>
                  <w:r>
                    <w:rPr>
                      <w:rFonts w:hint="default" w:ascii="Times New Roman" w:hAnsi="Times New Roman" w:cs="Times New Roman"/>
                      <w:color w:val="000000" w:themeColor="text1"/>
                      <w:szCs w:val="21"/>
                      <w:lang w:val="en-US" w:eastAsia="zh-CN"/>
                      <w14:textFill>
                        <w14:solidFill>
                          <w14:schemeClr w14:val="tx1"/>
                        </w14:solidFill>
                      </w14:textFill>
                    </w:rPr>
                    <w:t>排放</w:t>
                  </w:r>
                  <w:r>
                    <w:rPr>
                      <w:rFonts w:hint="eastAsia" w:ascii="Times New Roman" w:hAnsi="Times New Roman" w:cs="Times New Roman"/>
                      <w:color w:val="000000" w:themeColor="text1"/>
                      <w:szCs w:val="21"/>
                      <w:lang w:val="en-US" w:eastAsia="zh-CN"/>
                      <w14:textFill>
                        <w14:solidFill>
                          <w14:schemeClr w14:val="tx1"/>
                        </w14:solidFill>
                      </w14:textFill>
                    </w:rPr>
                    <w:t>，车间内均采用皮带运输。</w:t>
                  </w:r>
                </w:p>
              </w:tc>
              <w:tc>
                <w:tcPr>
                  <w:tcW w:w="526" w:type="pct"/>
                  <w:noWrap w:val="0"/>
                  <w:vAlign w:val="center"/>
                </w:tcPr>
                <w:p w14:paraId="6FADB19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29E75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7FC62C0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vMerge w:val="continue"/>
                  <w:noWrap w:val="0"/>
                  <w:vAlign w:val="center"/>
                </w:tcPr>
                <w:p w14:paraId="76C3C4B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235" w:type="pct"/>
                  <w:noWrap w:val="0"/>
                  <w:vAlign w:val="center"/>
                </w:tcPr>
                <w:p w14:paraId="70AA0F3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造粒</w:t>
                  </w:r>
                  <w:r>
                    <w:rPr>
                      <w:rFonts w:hint="default" w:ascii="Times New Roman" w:hAnsi="Times New Roman" w:cs="Times New Roman"/>
                      <w:color w:val="000000" w:themeColor="text1"/>
                      <w:szCs w:val="21"/>
                      <w:lang w:val="en-US" w:eastAsia="zh-CN"/>
                      <w14:textFill>
                        <w14:solidFill>
                          <w14:schemeClr w14:val="tx1"/>
                        </w14:solidFill>
                      </w14:textFill>
                    </w:rPr>
                    <w:t>过程产生的颗粒物在产尘区域上方设置集气罩，</w:t>
                  </w:r>
                  <w:r>
                    <w:rPr>
                      <w:rFonts w:hint="eastAsia" w:cs="Times New Roman"/>
                      <w:color w:val="000000" w:themeColor="text1"/>
                      <w:szCs w:val="21"/>
                      <w:lang w:val="en-US" w:eastAsia="zh-CN"/>
                      <w14:textFill>
                        <w14:solidFill>
                          <w14:schemeClr w14:val="tx1"/>
                        </w14:solidFill>
                      </w14:textFill>
                    </w:rPr>
                    <w:t>经配套袋式除尘器处理后，经15m</w:t>
                  </w:r>
                  <w:r>
                    <w:rPr>
                      <w:rFonts w:hint="default" w:ascii="Times New Roman" w:hAnsi="Times New Roman" w:cs="Times New Roman"/>
                      <w:color w:val="000000" w:themeColor="text1"/>
                      <w:szCs w:val="21"/>
                      <w:lang w:val="en-US" w:eastAsia="zh-CN"/>
                      <w14:textFill>
                        <w14:solidFill>
                          <w14:schemeClr w14:val="tx1"/>
                        </w14:solidFill>
                      </w14:textFill>
                    </w:rPr>
                    <w:t>高排气筒</w:t>
                  </w:r>
                  <w:r>
                    <w:rPr>
                      <w:rFonts w:hint="eastAsia" w:ascii="Times New Roman" w:hAnsi="Times New Roman" w:cs="Times New Roman"/>
                      <w:color w:val="000000" w:themeColor="text1"/>
                      <w:szCs w:val="21"/>
                      <w:lang w:val="en-US" w:eastAsia="zh-CN"/>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4</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排放</w:t>
                  </w: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526" w:type="pct"/>
                  <w:noWrap w:val="0"/>
                  <w:vAlign w:val="center"/>
                </w:tcPr>
                <w:p w14:paraId="694F2B9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6E75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2EC1581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vMerge w:val="continue"/>
                  <w:noWrap w:val="0"/>
                  <w:vAlign w:val="center"/>
                </w:tcPr>
                <w:p w14:paraId="21640E3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3235" w:type="pct"/>
                  <w:noWrap w:val="0"/>
                  <w:vAlign w:val="center"/>
                </w:tcPr>
                <w:p w14:paraId="71E3E99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热风炉产生的燃烧废气通过15m高排气筒（DA003）排放。</w:t>
                  </w:r>
                </w:p>
              </w:tc>
              <w:tc>
                <w:tcPr>
                  <w:tcW w:w="526" w:type="pct"/>
                  <w:noWrap w:val="0"/>
                  <w:vAlign w:val="center"/>
                </w:tcPr>
                <w:p w14:paraId="66C0BAD9">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新建</w:t>
                  </w:r>
                </w:p>
              </w:tc>
            </w:tr>
            <w:tr w14:paraId="476D0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2682481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1849B22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废水处理措施</w:t>
                  </w:r>
                </w:p>
              </w:tc>
              <w:tc>
                <w:tcPr>
                  <w:tcW w:w="3235" w:type="pct"/>
                  <w:noWrap w:val="0"/>
                  <w:vAlign w:val="center"/>
                </w:tcPr>
                <w:p w14:paraId="487DB81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FF"/>
                      <w:szCs w:val="21"/>
                      <w:lang w:val="en-US" w:eastAsia="zh-CN"/>
                    </w:rPr>
                    <w:t>罐体清洗</w:t>
                  </w:r>
                  <w:r>
                    <w:rPr>
                      <w:rFonts w:hint="eastAsia" w:ascii="Times New Roman" w:hAnsi="Times New Roman" w:cs="Times New Roman"/>
                      <w:color w:val="0000FF"/>
                      <w:szCs w:val="21"/>
                      <w:lang w:val="en-US" w:eastAsia="zh-CN"/>
                    </w:rPr>
                    <w:t>废水经塑料桶收集后</w:t>
                  </w:r>
                  <w:r>
                    <w:rPr>
                      <w:rFonts w:hint="eastAsia" w:cs="Times New Roman"/>
                      <w:color w:val="0000FF"/>
                      <w:szCs w:val="21"/>
                      <w:lang w:val="en-US" w:eastAsia="zh-CN"/>
                    </w:rPr>
                    <w:t>，回用于发酵生产工序；</w:t>
                  </w:r>
                  <w:r>
                    <w:rPr>
                      <w:rFonts w:hint="default" w:ascii="Times New Roman" w:hAnsi="Times New Roman" w:cs="Times New Roman"/>
                      <w:color w:val="000000" w:themeColor="text1"/>
                      <w:szCs w:val="21"/>
                      <w:lang w:val="en-US" w:eastAsia="zh-CN"/>
                      <w14:textFill>
                        <w14:solidFill>
                          <w14:schemeClr w14:val="tx1"/>
                        </w14:solidFill>
                      </w14:textFill>
                    </w:rPr>
                    <w:t>渗滤液</w:t>
                  </w:r>
                  <w:r>
                    <w:rPr>
                      <w:rFonts w:hint="eastAsia" w:ascii="Times New Roman" w:hAnsi="Times New Roman" w:cs="Times New Roman"/>
                      <w:color w:val="000000" w:themeColor="text1"/>
                      <w:szCs w:val="21"/>
                      <w:lang w:val="en-US" w:eastAsia="zh-CN"/>
                      <w14:textFill>
                        <w14:solidFill>
                          <w14:schemeClr w14:val="tx1"/>
                        </w14:solidFill>
                      </w14:textFill>
                    </w:rPr>
                    <w:t>收集后拉运堆肥</w:t>
                  </w:r>
                  <w:r>
                    <w:rPr>
                      <w:rFonts w:hint="default" w:ascii="Times New Roman" w:hAnsi="Times New Roman" w:cs="Times New Roman"/>
                      <w:color w:val="000000" w:themeColor="text1"/>
                      <w:szCs w:val="21"/>
                      <w:lang w:val="en-US" w:eastAsia="zh-CN"/>
                      <w14:textFill>
                        <w14:solidFill>
                          <w14:schemeClr w14:val="tx1"/>
                        </w14:solidFill>
                      </w14:textFill>
                    </w:rPr>
                    <w:t>。生活污水经</w:t>
                  </w:r>
                  <w:r>
                    <w:rPr>
                      <w:rFonts w:hint="eastAsia" w:ascii="Times New Roman" w:hAnsi="Times New Roman" w:cs="Times New Roman"/>
                      <w:color w:val="000000" w:themeColor="text1"/>
                      <w:szCs w:val="21"/>
                      <w:lang w:val="en-US" w:eastAsia="zh-CN"/>
                      <w14:textFill>
                        <w14:solidFill>
                          <w14:schemeClr w14:val="tx1"/>
                        </w14:solidFill>
                      </w14:textFill>
                    </w:rPr>
                    <w:t>化粪池</w:t>
                  </w:r>
                  <w:r>
                    <w:rPr>
                      <w:rFonts w:hint="default" w:ascii="Times New Roman" w:hAnsi="Times New Roman" w:cs="Times New Roman"/>
                      <w:color w:val="000000" w:themeColor="text1"/>
                      <w:szCs w:val="21"/>
                      <w:lang w:val="en-US" w:eastAsia="zh-CN"/>
                      <w14:textFill>
                        <w14:solidFill>
                          <w14:schemeClr w14:val="tx1"/>
                        </w14:solidFill>
                      </w14:textFill>
                    </w:rPr>
                    <w:t>处理后拉运</w:t>
                  </w:r>
                  <w:r>
                    <w:rPr>
                      <w:rFonts w:hint="eastAsia" w:ascii="Times New Roman" w:hAnsi="Times New Roman" w:cs="Times New Roman"/>
                      <w:color w:val="000000" w:themeColor="text1"/>
                      <w:szCs w:val="21"/>
                      <w:lang w:val="en-US" w:eastAsia="zh-CN"/>
                      <w14:textFill>
                        <w14:solidFill>
                          <w14:schemeClr w14:val="tx1"/>
                        </w14:solidFill>
                      </w14:textFill>
                    </w:rPr>
                    <w:t>堆肥</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26" w:type="pct"/>
                  <w:noWrap w:val="0"/>
                  <w:vAlign w:val="center"/>
                </w:tcPr>
                <w:p w14:paraId="4E95AD0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w:t>
                  </w:r>
                </w:p>
              </w:tc>
            </w:tr>
            <w:tr w14:paraId="42159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21ED230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190BCFA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噪声处理</w:t>
                  </w:r>
                  <w:r>
                    <w:rPr>
                      <w:rFonts w:hint="default" w:ascii="Times New Roman" w:hAnsi="Times New Roman" w:cs="Times New Roman"/>
                      <w:color w:val="000000" w:themeColor="text1"/>
                      <w:szCs w:val="21"/>
                      <w:lang w:val="en-US" w:eastAsia="zh-CN"/>
                      <w14:textFill>
                        <w14:solidFill>
                          <w14:schemeClr w14:val="tx1"/>
                        </w14:solidFill>
                      </w14:textFill>
                    </w:rPr>
                    <w:t>措施</w:t>
                  </w:r>
                </w:p>
              </w:tc>
              <w:tc>
                <w:tcPr>
                  <w:tcW w:w="3235" w:type="pct"/>
                  <w:shd w:val="clear" w:color="auto" w:fill="auto"/>
                  <w:noWrap w:val="0"/>
                  <w:vAlign w:val="center"/>
                </w:tcPr>
                <w:p w14:paraId="0E9B8870">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Cs w:val="21"/>
                      <w:highlight w:val="none"/>
                      <w14:textFill>
                        <w14:solidFill>
                          <w14:schemeClr w14:val="tx1"/>
                        </w14:solidFill>
                      </w14:textFill>
                    </w:rPr>
                    <w:t>基础减振</w:t>
                  </w:r>
                  <w:r>
                    <w:rPr>
                      <w:rFonts w:hint="default" w:ascii="Times New Roman" w:hAnsi="Times New Roman" w:eastAsia="宋体" w:cs="Times New Roman"/>
                      <w:snapToGrid w:val="0"/>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厂房隔声、</w:t>
                  </w:r>
                  <w:r>
                    <w:rPr>
                      <w:rFonts w:hint="default" w:ascii="Times New Roman" w:hAnsi="Times New Roman" w:cs="Times New Roman"/>
                      <w:snapToGrid w:val="0"/>
                      <w:color w:val="000000" w:themeColor="text1"/>
                      <w:szCs w:val="21"/>
                      <w:highlight w:val="none"/>
                      <w:lang w:val="en-US" w:eastAsia="zh-CN"/>
                      <w14:textFill>
                        <w14:solidFill>
                          <w14:schemeClr w14:val="tx1"/>
                        </w14:solidFill>
                      </w14:textFill>
                    </w:rPr>
                    <w:t>合理布局</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等</w:t>
                  </w:r>
                </w:p>
              </w:tc>
              <w:tc>
                <w:tcPr>
                  <w:tcW w:w="526" w:type="pct"/>
                  <w:shd w:val="clear" w:color="auto" w:fill="auto"/>
                  <w:noWrap w:val="0"/>
                  <w:vAlign w:val="center"/>
                </w:tcPr>
                <w:p w14:paraId="4C529600">
                  <w:pPr>
                    <w:adjustRightInd w:val="0"/>
                    <w:snapToGrid w:val="0"/>
                    <w:jc w:val="center"/>
                    <w:rPr>
                      <w:rFonts w:hint="default" w:ascii="Times New Roman" w:hAnsi="Times New Roman" w:eastAsia="宋体" w:cs="Times New Roman"/>
                      <w:snapToGrid w:val="0"/>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Cs w:val="21"/>
                      <w:highlight w:val="none"/>
                      <w14:textFill>
                        <w14:solidFill>
                          <w14:schemeClr w14:val="tx1"/>
                        </w14:solidFill>
                      </w14:textFill>
                    </w:rPr>
                    <w:t>新建</w:t>
                  </w:r>
                </w:p>
              </w:tc>
            </w:tr>
            <w:tr w14:paraId="66CAA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noWrap w:val="0"/>
                  <w:vAlign w:val="center"/>
                </w:tcPr>
                <w:p w14:paraId="5156E39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1" w:type="pct"/>
                  <w:noWrap w:val="0"/>
                  <w:vAlign w:val="center"/>
                </w:tcPr>
                <w:p w14:paraId="5758D99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固体废物收集设施</w:t>
                  </w:r>
                </w:p>
              </w:tc>
              <w:tc>
                <w:tcPr>
                  <w:tcW w:w="3235" w:type="pct"/>
                  <w:shd w:val="clear" w:color="auto" w:fill="auto"/>
                  <w:noWrap w:val="0"/>
                  <w:vAlign w:val="center"/>
                </w:tcPr>
                <w:p w14:paraId="7AA963F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垃圾桶</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分类收集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交环卫部门处理</w:t>
                  </w:r>
                  <w:r>
                    <w:rPr>
                      <w:rFonts w:hint="default" w:ascii="Times New Roman" w:hAnsi="Times New Roman" w:eastAsia="宋体" w:cs="Times New Roman"/>
                      <w:color w:val="000000" w:themeColor="text1"/>
                      <w:szCs w:val="21"/>
                      <w:highlight w:val="none"/>
                      <w14:textFill>
                        <w14:solidFill>
                          <w14:schemeClr w14:val="tx1"/>
                        </w14:solidFill>
                      </w14:textFill>
                    </w:rPr>
                    <w:t>；</w:t>
                  </w:r>
                </w:p>
                <w:p w14:paraId="5F8E4CAD">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一般固废：</w:t>
                  </w:r>
                  <w:r>
                    <w:rPr>
                      <w:rFonts w:hint="default" w:ascii="Times New Roman" w:hAnsi="Times New Roman" w:eastAsia="宋体" w:cs="Times New Roman"/>
                      <w:color w:val="000000" w:themeColor="text1"/>
                      <w:szCs w:val="21"/>
                      <w:highlight w:val="none"/>
                      <w14:textFill>
                        <w14:solidFill>
                          <w14:schemeClr w14:val="tx1"/>
                        </w14:solidFill>
                      </w14:textFill>
                    </w:rPr>
                    <w:t>一般固废暂存区</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10m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暂存</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回用于生产</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废包装袋</w:t>
                  </w:r>
                  <w:r>
                    <w:rPr>
                      <w:rFonts w:hint="eastAsia" w:ascii="Times New Roman" w:hAnsi="Times New Roman" w:cs="Times New Roman"/>
                      <w:color w:val="000000" w:themeColor="text1"/>
                      <w:szCs w:val="21"/>
                      <w:highlight w:val="none"/>
                      <w:lang w:val="en-US" w:eastAsia="zh-CN"/>
                      <w14:textFill>
                        <w14:solidFill>
                          <w14:schemeClr w14:val="tx1"/>
                        </w14:solidFill>
                      </w14:textFill>
                    </w:rPr>
                    <w:t>及杂质</w:t>
                  </w:r>
                  <w:r>
                    <w:rPr>
                      <w:rFonts w:hint="default" w:ascii="Times New Roman" w:hAnsi="Times New Roman" w:cs="Times New Roman"/>
                      <w:color w:val="000000" w:themeColor="text1"/>
                      <w:szCs w:val="21"/>
                      <w:highlight w:val="none"/>
                      <w:lang w:val="en-US" w:eastAsia="zh-CN"/>
                      <w14:textFill>
                        <w14:solidFill>
                          <w14:schemeClr w14:val="tx1"/>
                        </w14:solidFill>
                      </w14:textFill>
                    </w:rPr>
                    <w:t>外售处理；</w:t>
                  </w:r>
                  <w:r>
                    <w:rPr>
                      <w:rFonts w:hint="eastAsia"/>
                      <w:color w:val="auto"/>
                      <w:lang w:val="en-US" w:eastAsia="zh-CN"/>
                    </w:rPr>
                    <w:t>设置危废贮存库</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10m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color w:val="auto"/>
                      <w:lang w:val="en-US" w:eastAsia="zh-CN"/>
                    </w:rPr>
                    <w:t>对危险废物分类暂存，定期交由有资质单位转运处置</w:t>
                  </w:r>
                </w:p>
              </w:tc>
              <w:tc>
                <w:tcPr>
                  <w:tcW w:w="526" w:type="pct"/>
                  <w:shd w:val="clear" w:color="auto" w:fill="auto"/>
                  <w:noWrap w:val="0"/>
                  <w:vAlign w:val="center"/>
                </w:tcPr>
                <w:p w14:paraId="38608FE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新建</w:t>
                  </w:r>
                </w:p>
              </w:tc>
            </w:tr>
          </w:tbl>
          <w:p w14:paraId="70619179">
            <w:pPr>
              <w:widowControl/>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4、产品方案</w:t>
            </w:r>
          </w:p>
          <w:p w14:paraId="264CEE4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生产规模：</w:t>
            </w:r>
            <w:r>
              <w:rPr>
                <w:rFonts w:hint="default" w:ascii="Times New Roman" w:hAnsi="Times New Roman" w:cs="Times New Roman"/>
                <w:color w:val="000000" w:themeColor="text1"/>
                <w:sz w:val="24"/>
                <w:szCs w:val="24"/>
                <w:lang w:val="en-US" w:eastAsia="zh-CN"/>
                <w14:textFill>
                  <w14:solidFill>
                    <w14:schemeClr w14:val="tx1"/>
                  </w14:solidFill>
                </w14:textFill>
              </w:rPr>
              <w:t>年处理</w:t>
            </w:r>
            <w:r>
              <w:rPr>
                <w:rFonts w:hint="eastAsia" w:cs="Times New Roman"/>
                <w:color w:val="000000" w:themeColor="text1"/>
                <w:sz w:val="24"/>
                <w:szCs w:val="24"/>
                <w:lang w:val="en-US" w:eastAsia="zh-CN"/>
                <w14:textFill>
                  <w14:solidFill>
                    <w14:schemeClr w14:val="tx1"/>
                  </w14:solidFill>
                </w14:textFill>
              </w:rPr>
              <w:t>畜禽粪</w:t>
            </w:r>
            <w:r>
              <w:rPr>
                <w:rFonts w:hint="default" w:ascii="Times New Roman" w:hAnsi="Times New Roman" w:cs="Times New Roman"/>
                <w:color w:val="000000" w:themeColor="text1"/>
                <w:sz w:val="24"/>
                <w:szCs w:val="24"/>
                <w:lang w:val="en-US" w:eastAsia="zh-CN"/>
                <w14:textFill>
                  <w14:solidFill>
                    <w14:schemeClr w14:val="tx1"/>
                  </w14:solidFill>
                </w14:textFill>
              </w:rPr>
              <w:t>6000吨，年处理</w:t>
            </w:r>
            <w:r>
              <w:rPr>
                <w:rFonts w:hint="eastAsia" w:cs="Times New Roman"/>
                <w:color w:val="000000" w:themeColor="text1"/>
                <w:sz w:val="24"/>
                <w:szCs w:val="24"/>
                <w:lang w:val="en-US" w:eastAsia="zh-CN"/>
                <w14:textFill>
                  <w14:solidFill>
                    <w14:schemeClr w14:val="tx1"/>
                  </w14:solidFill>
                </w14:textFill>
              </w:rPr>
              <w:t>菌渣12000吨，</w:t>
            </w:r>
            <w:r>
              <w:rPr>
                <w:rFonts w:hint="default" w:ascii="Times New Roman" w:hAnsi="Times New Roman" w:cs="Times New Roman"/>
                <w:color w:val="000000" w:themeColor="text1"/>
                <w:sz w:val="24"/>
                <w:szCs w:val="24"/>
                <w:lang w:val="en-US" w:eastAsia="zh-CN"/>
                <w14:textFill>
                  <w14:solidFill>
                    <w14:schemeClr w14:val="tx1"/>
                  </w14:solidFill>
                </w14:textFill>
              </w:rPr>
              <w:t>年处理秸秆</w:t>
            </w:r>
            <w:r>
              <w:rPr>
                <w:rFonts w:hint="eastAsia" w:cs="Times New Roman"/>
                <w:color w:val="000000" w:themeColor="text1"/>
                <w:sz w:val="24"/>
                <w:szCs w:val="24"/>
                <w:lang w:val="en-US" w:eastAsia="zh-CN"/>
                <w14:textFill>
                  <w14:solidFill>
                    <w14:schemeClr w14:val="tx1"/>
                  </w14:solidFill>
                </w14:textFill>
              </w:rPr>
              <w:t>12000</w:t>
            </w:r>
            <w:r>
              <w:rPr>
                <w:rFonts w:hint="default" w:ascii="Times New Roman" w:hAnsi="Times New Roman" w:cs="Times New Roman"/>
                <w:color w:val="000000" w:themeColor="text1"/>
                <w:sz w:val="24"/>
                <w:szCs w:val="24"/>
                <w:lang w:val="en-US" w:eastAsia="zh-CN"/>
                <w14:textFill>
                  <w14:solidFill>
                    <w14:schemeClr w14:val="tx1"/>
                  </w14:solidFill>
                </w14:textFill>
              </w:rPr>
              <w:t>吨</w:t>
            </w:r>
            <w:r>
              <w:rPr>
                <w:rFonts w:hint="eastAsia" w:cs="Times New Roman"/>
                <w:color w:val="000000" w:themeColor="text1"/>
                <w:sz w:val="24"/>
                <w:szCs w:val="24"/>
                <w:lang w:val="en-US" w:eastAsia="zh-CN"/>
                <w14:textFill>
                  <w14:solidFill>
                    <w14:schemeClr w14:val="tx1"/>
                  </w14:solidFill>
                </w14:textFill>
              </w:rPr>
              <w:t>。</w:t>
            </w:r>
          </w:p>
          <w:p w14:paraId="1082224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（2）成品方案具体见下表：</w:t>
            </w:r>
          </w:p>
          <w:p w14:paraId="12E4DAC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21"/>
                <w14:textFill>
                  <w14:solidFill>
                    <w14:schemeClr w14:val="tx1"/>
                  </w14:solidFill>
                </w14:textFill>
              </w:rPr>
              <w:t xml:space="preserve"> 产品方案一览表</w:t>
            </w:r>
          </w:p>
          <w:tbl>
            <w:tblPr>
              <w:tblStyle w:val="22"/>
              <w:tblW w:w="82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329"/>
              <w:gridCol w:w="1400"/>
              <w:gridCol w:w="2775"/>
              <w:gridCol w:w="1976"/>
            </w:tblGrid>
            <w:tr w14:paraId="770F8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vAlign w:val="center"/>
                </w:tcPr>
                <w:p w14:paraId="15E16C21">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804" w:type="pct"/>
                  <w:tcBorders>
                    <w:tl2br w:val="nil"/>
                    <w:tr2bl w:val="nil"/>
                  </w:tcBorders>
                  <w:vAlign w:val="center"/>
                </w:tcPr>
                <w:p w14:paraId="3683F13A">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产品名称</w:t>
                  </w:r>
                </w:p>
              </w:tc>
              <w:tc>
                <w:tcPr>
                  <w:tcW w:w="847" w:type="pct"/>
                  <w:tcBorders>
                    <w:tl2br w:val="nil"/>
                    <w:tr2bl w:val="nil"/>
                  </w:tcBorders>
                  <w:vAlign w:val="center"/>
                </w:tcPr>
                <w:p w14:paraId="03A70A8A">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年产量（</w:t>
                  </w:r>
                  <w:r>
                    <w:rPr>
                      <w:rFonts w:hint="default" w:ascii="Times New Roman" w:hAnsi="Times New Roman" w:cs="Times New Roman"/>
                      <w:b/>
                      <w:bCs/>
                      <w:color w:val="000000" w:themeColor="text1"/>
                      <w:szCs w:val="21"/>
                      <w:lang w:val="en-US" w:eastAsia="zh-CN"/>
                      <w14:textFill>
                        <w14:solidFill>
                          <w14:schemeClr w14:val="tx1"/>
                        </w14:solidFill>
                      </w14:textFill>
                    </w:rPr>
                    <w:t>t</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1679" w:type="pct"/>
                  <w:tcBorders>
                    <w:tl2br w:val="nil"/>
                    <w:tr2bl w:val="nil"/>
                  </w:tcBorders>
                  <w:vAlign w:val="center"/>
                </w:tcPr>
                <w:p w14:paraId="73881FB4">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粒径大小</w:t>
                  </w:r>
                </w:p>
              </w:tc>
              <w:tc>
                <w:tcPr>
                  <w:tcW w:w="1195" w:type="pct"/>
                  <w:tcBorders>
                    <w:tl2br w:val="nil"/>
                    <w:tr2bl w:val="nil"/>
                  </w:tcBorders>
                  <w:vAlign w:val="center"/>
                </w:tcPr>
                <w:p w14:paraId="7A0005DE">
                  <w:pPr>
                    <w:adjustRightInd w:val="0"/>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包装规格</w:t>
                  </w:r>
                </w:p>
              </w:tc>
            </w:tr>
            <w:tr w14:paraId="7F04A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vAlign w:val="center"/>
                </w:tcPr>
                <w:p w14:paraId="60D423F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804" w:type="pct"/>
                  <w:tcBorders>
                    <w:tl2br w:val="nil"/>
                    <w:tr2bl w:val="nil"/>
                  </w:tcBorders>
                  <w:vAlign w:val="center"/>
                </w:tcPr>
                <w:p w14:paraId="4AE5CD0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生物</w:t>
                  </w:r>
                  <w:r>
                    <w:rPr>
                      <w:rFonts w:hint="default" w:ascii="Times New Roman" w:hAnsi="Times New Roman" w:cs="Times New Roman"/>
                      <w:color w:val="000000" w:themeColor="text1"/>
                      <w:szCs w:val="21"/>
                      <w:lang w:val="en-US" w:eastAsia="zh-CN"/>
                      <w14:textFill>
                        <w14:solidFill>
                          <w14:schemeClr w14:val="tx1"/>
                        </w14:solidFill>
                      </w14:textFill>
                    </w:rPr>
                    <w:t>有机肥</w:t>
                  </w:r>
                </w:p>
              </w:tc>
              <w:tc>
                <w:tcPr>
                  <w:tcW w:w="847" w:type="pct"/>
                  <w:tcBorders>
                    <w:tl2br w:val="nil"/>
                    <w:tr2bl w:val="nil"/>
                  </w:tcBorders>
                  <w:vAlign w:val="center"/>
                </w:tcPr>
                <w:p w14:paraId="4CE7E1C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21920</w:t>
                  </w:r>
                </w:p>
              </w:tc>
              <w:tc>
                <w:tcPr>
                  <w:tcW w:w="1679" w:type="pct"/>
                  <w:tcBorders>
                    <w:tl2br w:val="nil"/>
                    <w:tr2bl w:val="nil"/>
                  </w:tcBorders>
                  <w:vAlign w:val="center"/>
                </w:tcPr>
                <w:p w14:paraId="55601A3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2cm</w:t>
                  </w:r>
                  <w:r>
                    <w:rPr>
                      <w:rFonts w:hint="eastAsia" w:cs="Times New Roman"/>
                      <w:color w:val="000000" w:themeColor="text1"/>
                      <w:sz w:val="21"/>
                      <w:szCs w:val="21"/>
                      <w:lang w:val="en-US" w:eastAsia="zh-CN"/>
                      <w14:textFill>
                        <w14:solidFill>
                          <w14:schemeClr w14:val="tx1"/>
                        </w14:solidFill>
                      </w14:textFill>
                    </w:rPr>
                    <w:t>（产品含水率约15%）</w:t>
                  </w:r>
                </w:p>
              </w:tc>
              <w:tc>
                <w:tcPr>
                  <w:tcW w:w="1195" w:type="pct"/>
                  <w:tcBorders>
                    <w:tl2br w:val="nil"/>
                    <w:tr2bl w:val="nil"/>
                  </w:tcBorders>
                  <w:vAlign w:val="center"/>
                </w:tcPr>
                <w:p w14:paraId="1374161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袋装，</w:t>
                  </w:r>
                  <w:r>
                    <w:rPr>
                      <w:rFonts w:hint="default" w:ascii="Times New Roman" w:hAnsi="Times New Roman" w:eastAsia="Times New Roman" w:cs="Times New Roman"/>
                      <w:color w:val="000000" w:themeColor="text1"/>
                      <w:sz w:val="21"/>
                      <w:szCs w:val="21"/>
                      <w14:textFill>
                        <w14:solidFill>
                          <w14:schemeClr w14:val="tx1"/>
                        </w14:solidFill>
                      </w14:textFill>
                    </w:rPr>
                    <w:t>20</w:t>
                  </w:r>
                  <w:r>
                    <w:rPr>
                      <w:rFonts w:hint="eastAsia" w:eastAsia="宋体" w:cs="Times New Roman"/>
                      <w:color w:val="000000" w:themeColor="text1"/>
                      <w:sz w:val="21"/>
                      <w:szCs w:val="21"/>
                      <w:lang w:eastAsia="zh-CN"/>
                      <w14:textFill>
                        <w14:solidFill>
                          <w14:schemeClr w14:val="tx1"/>
                        </w14:solidFill>
                      </w14:textFill>
                    </w:rPr>
                    <w:t>kg</w:t>
                  </w:r>
                  <w:r>
                    <w:rPr>
                      <w:rFonts w:hint="default" w:ascii="Times New Roman" w:hAnsi="Times New Roman" w:eastAsia="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袋</w:t>
                  </w:r>
                </w:p>
              </w:tc>
            </w:tr>
          </w:tbl>
          <w:p w14:paraId="557A4FE3">
            <w:pPr>
              <w:widowControl/>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5、产品标准</w:t>
            </w:r>
          </w:p>
          <w:p w14:paraId="07B261D1">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2"/>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bidi="ar-SA"/>
                <w14:textFill>
                  <w14:solidFill>
                    <w14:schemeClr w14:val="tx1"/>
                  </w14:solidFill>
                </w14:textFill>
              </w:rPr>
              <w:t>本项目产品质量委外检测，</w:t>
            </w:r>
            <w:r>
              <w:rPr>
                <w:rFonts w:hint="eastAsia" w:ascii="Times New Roman" w:hAnsi="Times New Roman" w:cs="Times New Roman"/>
                <w:color w:val="000000" w:themeColor="text1"/>
                <w:kern w:val="0"/>
                <w:sz w:val="24"/>
                <w:lang w:val="en-US" w:eastAsia="zh-CN" w:bidi="ar-SA"/>
                <w14:textFill>
                  <w14:solidFill>
                    <w14:schemeClr w14:val="tx1"/>
                  </w14:solidFill>
                </w14:textFill>
              </w:rPr>
              <w:t>产品</w:t>
            </w:r>
            <w:r>
              <w:rPr>
                <w:rFonts w:hint="default" w:ascii="Times New Roman" w:hAnsi="Times New Roman" w:cs="Times New Roman"/>
                <w:color w:val="000000" w:themeColor="text1"/>
                <w:kern w:val="0"/>
                <w:sz w:val="24"/>
                <w:lang w:val="en-US" w:eastAsia="zh-CN" w:bidi="ar-SA"/>
                <w14:textFill>
                  <w14:solidFill>
                    <w14:schemeClr w14:val="tx1"/>
                  </w14:solidFill>
                </w14:textFill>
              </w:rPr>
              <w:t>有机肥满足</w:t>
            </w:r>
            <w:r>
              <w:rPr>
                <w:rFonts w:hint="default" w:ascii="Times New Roman" w:hAnsi="Times New Roman" w:cs="Times New Roman"/>
                <w:color w:val="000000" w:themeColor="text1"/>
                <w:sz w:val="24"/>
                <w:szCs w:val="22"/>
                <w14:textFill>
                  <w14:solidFill>
                    <w14:schemeClr w14:val="tx1"/>
                  </w14:solidFill>
                </w14:textFill>
              </w:rPr>
              <w:t>《</w:t>
            </w:r>
            <w:r>
              <w:rPr>
                <w:rFonts w:hint="eastAsia" w:ascii="Times New Roman" w:hAnsi="Times New Roman" w:cs="Times New Roman"/>
                <w:color w:val="000000" w:themeColor="text1"/>
                <w:sz w:val="24"/>
                <w:szCs w:val="22"/>
                <w:lang w:val="en-US" w:eastAsia="zh-CN"/>
                <w14:textFill>
                  <w14:solidFill>
                    <w14:schemeClr w14:val="tx1"/>
                  </w14:solidFill>
                </w14:textFill>
              </w:rPr>
              <w:t>生物</w:t>
            </w:r>
            <w:r>
              <w:rPr>
                <w:rFonts w:hint="default" w:ascii="Times New Roman" w:hAnsi="Times New Roman" w:cs="Times New Roman"/>
                <w:color w:val="000000" w:themeColor="text1"/>
                <w:sz w:val="24"/>
                <w:szCs w:val="22"/>
                <w14:textFill>
                  <w14:solidFill>
                    <w14:schemeClr w14:val="tx1"/>
                  </w14:solidFill>
                </w14:textFill>
              </w:rPr>
              <w:t>有机肥料》（</w:t>
            </w:r>
            <w:r>
              <w:rPr>
                <w:rFonts w:hint="eastAsia" w:ascii="Times New Roman" w:hAnsi="Times New Roman" w:cs="Times New Roman"/>
                <w:color w:val="000000" w:themeColor="text1"/>
                <w:sz w:val="24"/>
                <w:szCs w:val="22"/>
                <w:lang w:eastAsia="zh-CN"/>
                <w14:textFill>
                  <w14:solidFill>
                    <w14:schemeClr w14:val="tx1"/>
                  </w14:solidFill>
                </w14:textFill>
              </w:rPr>
              <w:t>NY</w:t>
            </w:r>
            <w:r>
              <w:rPr>
                <w:rFonts w:hint="eastAsia" w:ascii="Times New Roman" w:hAnsi="Times New Roman" w:cs="Times New Roman"/>
                <w:color w:val="000000" w:themeColor="text1"/>
                <w:sz w:val="24"/>
                <w:szCs w:val="22"/>
                <w:lang w:val="en-US" w:eastAsia="zh-CN"/>
                <w14:textFill>
                  <w14:solidFill>
                    <w14:schemeClr w14:val="tx1"/>
                  </w14:solidFill>
                </w14:textFill>
              </w:rPr>
              <w:t>884</w:t>
            </w:r>
            <w:r>
              <w:rPr>
                <w:rFonts w:hint="eastAsia" w:ascii="Times New Roman" w:hAnsi="Times New Roman" w:cs="Times New Roman"/>
                <w:color w:val="000000" w:themeColor="text1"/>
                <w:sz w:val="24"/>
                <w:szCs w:val="22"/>
                <w:lang w:eastAsia="zh-CN"/>
                <w14:textFill>
                  <w14:solidFill>
                    <w14:schemeClr w14:val="tx1"/>
                  </w14:solidFill>
                </w14:textFill>
              </w:rPr>
              <w:t>-20</w:t>
            </w:r>
            <w:r>
              <w:rPr>
                <w:rFonts w:hint="eastAsia" w:ascii="Times New Roman" w:hAnsi="Times New Roman" w:cs="Times New Roman"/>
                <w:color w:val="000000" w:themeColor="text1"/>
                <w:sz w:val="24"/>
                <w:szCs w:val="22"/>
                <w:lang w:val="en-US" w:eastAsia="zh-CN"/>
                <w14:textFill>
                  <w14:solidFill>
                    <w14:schemeClr w14:val="tx1"/>
                  </w14:solidFill>
                </w14:textFill>
              </w:rPr>
              <w:t>12</w:t>
            </w:r>
            <w:r>
              <w:rPr>
                <w:rFonts w:hint="default" w:ascii="Times New Roman" w:hAnsi="Times New Roman" w:cs="Times New Roman"/>
                <w:color w:val="000000" w:themeColor="text1"/>
                <w:sz w:val="24"/>
                <w:szCs w:val="22"/>
                <w14:textFill>
                  <w14:solidFill>
                    <w14:schemeClr w14:val="tx1"/>
                  </w14:solidFill>
                </w14:textFill>
              </w:rPr>
              <w:t>）</w:t>
            </w:r>
            <w:r>
              <w:rPr>
                <w:rFonts w:hint="default" w:ascii="Times New Roman" w:hAnsi="Times New Roman" w:cs="Times New Roman"/>
                <w:color w:val="000000" w:themeColor="text1"/>
                <w:sz w:val="24"/>
                <w:szCs w:val="22"/>
                <w:lang w:val="en-US" w:eastAsia="zh-CN"/>
                <w14:textFill>
                  <w14:solidFill>
                    <w14:schemeClr w14:val="tx1"/>
                  </w14:solidFill>
                </w14:textFill>
              </w:rPr>
              <w:t>相关标准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bidi="ar-SA"/>
                <w14:textFill>
                  <w14:solidFill>
                    <w14:schemeClr w14:val="tx1"/>
                  </w14:solidFill>
                </w14:textFill>
              </w:rPr>
              <w:t>产品标准</w:t>
            </w:r>
            <w:r>
              <w:rPr>
                <w:rFonts w:hint="default" w:ascii="Times New Roman" w:hAnsi="Times New Roman" w:cs="Times New Roman"/>
                <w:color w:val="000000" w:themeColor="text1"/>
                <w:kern w:val="0"/>
                <w:sz w:val="24"/>
                <w:lang w:val="en-US" w:eastAsia="zh-CN" w:bidi="ar-SA"/>
                <w14:textFill>
                  <w14:solidFill>
                    <w14:schemeClr w14:val="tx1"/>
                  </w14:solidFill>
                </w14:textFill>
              </w:rPr>
              <w:t>详</w:t>
            </w:r>
            <w:r>
              <w:rPr>
                <w:rFonts w:hint="default" w:ascii="Times New Roman" w:hAnsi="Times New Roman" w:cs="Times New Roman"/>
                <w:color w:val="000000" w:themeColor="text1"/>
                <w:kern w:val="0"/>
                <w:sz w:val="24"/>
                <w:lang w:val="en-US" w:bidi="ar-SA"/>
                <w14:textFill>
                  <w14:solidFill>
                    <w14:schemeClr w14:val="tx1"/>
                  </w14:solidFill>
                </w14:textFill>
              </w:rPr>
              <w:t>见表</w:t>
            </w:r>
            <w:r>
              <w:rPr>
                <w:rFonts w:hint="default" w:ascii="Times New Roman" w:hAnsi="Times New Roman" w:cs="Times New Roman"/>
                <w:color w:val="000000" w:themeColor="text1"/>
                <w:kern w:val="0"/>
                <w:sz w:val="24"/>
                <w:lang w:val="en-US" w:eastAsia="zh-CN" w:bidi="ar-SA"/>
                <w14:textFill>
                  <w14:solidFill>
                    <w14:schemeClr w14:val="tx1"/>
                  </w14:solidFill>
                </w14:textFill>
              </w:rPr>
              <w:t>2-3</w:t>
            </w:r>
            <w:r>
              <w:rPr>
                <w:rFonts w:hint="default" w:ascii="Times New Roman" w:hAnsi="Times New Roman" w:cs="Times New Roman"/>
                <w:color w:val="000000" w:themeColor="text1"/>
                <w:sz w:val="24"/>
                <w:szCs w:val="22"/>
                <w:lang w:val="en-US" w:eastAsia="zh-CN"/>
                <w14:textFill>
                  <w14:solidFill>
                    <w14:schemeClr w14:val="tx1"/>
                  </w14:solidFill>
                </w14:textFill>
              </w:rPr>
              <w:t>。</w:t>
            </w:r>
          </w:p>
          <w:p w14:paraId="70D3119D">
            <w:pPr>
              <w:spacing w:line="480" w:lineRule="exact"/>
              <w:ind w:firstLine="482" w:firstLineChars="200"/>
              <w:jc w:val="center"/>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b/>
                <w:color w:val="000000" w:themeColor="text1"/>
                <w:sz w:val="24"/>
                <w:highlight w:val="none"/>
                <w:lang w:val="en-US" w:eastAsia="zh-CN"/>
                <w14:textFill>
                  <w14:solidFill>
                    <w14:schemeClr w14:val="tx1"/>
                  </w14:solidFill>
                </w14:textFill>
              </w:rPr>
              <w:t>有机肥产品标准表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54"/>
              <w:gridCol w:w="1625"/>
              <w:gridCol w:w="1625"/>
            </w:tblGrid>
            <w:tr w14:paraId="4D4DF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exact"/>
                <w:tblHeader/>
                <w:jc w:val="center"/>
              </w:trPr>
              <w:tc>
                <w:tcPr>
                  <w:tcW w:w="2994" w:type="pct"/>
                  <w:tcBorders>
                    <w:tl2br w:val="nil"/>
                    <w:tr2bl w:val="nil"/>
                  </w:tcBorders>
                  <w:noWrap w:val="0"/>
                  <w:vAlign w:val="center"/>
                </w:tcPr>
                <w:p w14:paraId="11E0176D">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   目</w:t>
                  </w:r>
                </w:p>
              </w:tc>
              <w:tc>
                <w:tcPr>
                  <w:tcW w:w="1002" w:type="pct"/>
                  <w:tcBorders>
                    <w:tl2br w:val="nil"/>
                    <w:tr2bl w:val="nil"/>
                  </w:tcBorders>
                  <w:noWrap w:val="0"/>
                  <w:vAlign w:val="center"/>
                </w:tcPr>
                <w:p w14:paraId="1DEB6A91">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指标</w:t>
                  </w:r>
                </w:p>
              </w:tc>
              <w:tc>
                <w:tcPr>
                  <w:tcW w:w="1002" w:type="pct"/>
                  <w:tcBorders>
                    <w:tl2br w:val="nil"/>
                    <w:tr2bl w:val="nil"/>
                  </w:tcBorders>
                  <w:noWrap w:val="0"/>
                  <w:vAlign w:val="center"/>
                </w:tcPr>
                <w:p w14:paraId="3E6ACC88">
                  <w:pPr>
                    <w:pStyle w:val="41"/>
                    <w:ind w:right="-53"/>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备注</w:t>
                  </w:r>
                </w:p>
              </w:tc>
            </w:tr>
            <w:tr w14:paraId="58761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203BA057">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有机质的质量分数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以烘干基计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02" w:type="pct"/>
                  <w:tcBorders>
                    <w:tl2br w:val="nil"/>
                    <w:tr2bl w:val="nil"/>
                  </w:tcBorders>
                  <w:noWrap w:val="0"/>
                  <w:vAlign w:val="center"/>
                </w:tcPr>
                <w:p w14:paraId="3C7C54E0">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02" w:type="pct"/>
                  <w:vMerge w:val="restart"/>
                  <w:tcBorders>
                    <w:tl2br w:val="nil"/>
                    <w:tr2bl w:val="nil"/>
                  </w:tcBorders>
                  <w:noWrap w:val="0"/>
                  <w:vAlign w:val="center"/>
                </w:tcPr>
                <w:p w14:paraId="171FAAFA">
                  <w:pPr>
                    <w:pStyle w:val="41"/>
                    <w:ind w:left="-53" w:right="-53"/>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技术指标</w:t>
                  </w:r>
                </w:p>
              </w:tc>
            </w:tr>
            <w:tr w14:paraId="2EEBE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2994" w:type="pct"/>
                  <w:tcBorders>
                    <w:tl2br w:val="nil"/>
                    <w:tr2bl w:val="nil"/>
                  </w:tcBorders>
                  <w:noWrap w:val="0"/>
                  <w:vAlign w:val="center"/>
                </w:tcPr>
                <w:p w14:paraId="7F0FAA01">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有效活菌数（cfu），亿/g</w:t>
                  </w:r>
                </w:p>
              </w:tc>
              <w:tc>
                <w:tcPr>
                  <w:tcW w:w="1002" w:type="pct"/>
                  <w:tcBorders>
                    <w:tl2br w:val="nil"/>
                    <w:tr2bl w:val="nil"/>
                  </w:tcBorders>
                  <w:noWrap w:val="0"/>
                  <w:vAlign w:val="center"/>
                </w:tcPr>
                <w:p w14:paraId="37A9E178">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0.2</w:t>
                  </w:r>
                </w:p>
              </w:tc>
              <w:tc>
                <w:tcPr>
                  <w:tcW w:w="1002" w:type="pct"/>
                  <w:vMerge w:val="continue"/>
                  <w:tcBorders>
                    <w:tl2br w:val="nil"/>
                    <w:tr2bl w:val="nil"/>
                  </w:tcBorders>
                  <w:noWrap w:val="0"/>
                  <w:vAlign w:val="center"/>
                </w:tcPr>
                <w:p w14:paraId="020C59E7">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BBE3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53DC6946">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水分</w:t>
                  </w: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鲜样</w:t>
                  </w: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质量分数，%</w:t>
                  </w:r>
                </w:p>
              </w:tc>
              <w:tc>
                <w:tcPr>
                  <w:tcW w:w="1002" w:type="pct"/>
                  <w:tcBorders>
                    <w:tl2br w:val="nil"/>
                    <w:tr2bl w:val="nil"/>
                  </w:tcBorders>
                  <w:noWrap w:val="0"/>
                  <w:vAlign w:val="center"/>
                </w:tcPr>
                <w:p w14:paraId="5066DF66">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02" w:type="pct"/>
                  <w:vMerge w:val="continue"/>
                  <w:tcBorders>
                    <w:tl2br w:val="nil"/>
                    <w:tr2bl w:val="nil"/>
                  </w:tcBorders>
                  <w:noWrap w:val="0"/>
                  <w:vAlign w:val="center"/>
                </w:tcPr>
                <w:p w14:paraId="016171A4">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A9A0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212A753F">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酸碱度pH</w:t>
                  </w:r>
                </w:p>
              </w:tc>
              <w:tc>
                <w:tcPr>
                  <w:tcW w:w="1002" w:type="pct"/>
                  <w:tcBorders>
                    <w:tl2br w:val="nil"/>
                    <w:tr2bl w:val="nil"/>
                  </w:tcBorders>
                  <w:noWrap w:val="0"/>
                  <w:vAlign w:val="center"/>
                </w:tcPr>
                <w:p w14:paraId="6102CB70">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02" w:type="pct"/>
                  <w:vMerge w:val="continue"/>
                  <w:tcBorders>
                    <w:tl2br w:val="nil"/>
                    <w:tr2bl w:val="nil"/>
                  </w:tcBorders>
                  <w:noWrap w:val="0"/>
                  <w:vAlign w:val="center"/>
                </w:tcPr>
                <w:p w14:paraId="111447D1">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0939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56E3BD44">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粪大肠菌群数，个/g</w:t>
                  </w:r>
                </w:p>
              </w:tc>
              <w:tc>
                <w:tcPr>
                  <w:tcW w:w="1002" w:type="pct"/>
                  <w:tcBorders>
                    <w:tl2br w:val="nil"/>
                    <w:tr2bl w:val="nil"/>
                  </w:tcBorders>
                  <w:noWrap w:val="0"/>
                  <w:vAlign w:val="center"/>
                </w:tcPr>
                <w:p w14:paraId="757471CD">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002" w:type="pct"/>
                  <w:vMerge w:val="continue"/>
                  <w:tcBorders>
                    <w:tl2br w:val="nil"/>
                    <w:tr2bl w:val="nil"/>
                  </w:tcBorders>
                  <w:noWrap w:val="0"/>
                  <w:vAlign w:val="center"/>
                </w:tcPr>
                <w:p w14:paraId="416F4657">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5424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6D40176E">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蛔虫卵死亡率，%</w:t>
                  </w:r>
                </w:p>
              </w:tc>
              <w:tc>
                <w:tcPr>
                  <w:tcW w:w="1002" w:type="pct"/>
                  <w:tcBorders>
                    <w:tl2br w:val="nil"/>
                    <w:tr2bl w:val="nil"/>
                  </w:tcBorders>
                  <w:noWrap w:val="0"/>
                  <w:vAlign w:val="center"/>
                </w:tcPr>
                <w:p w14:paraId="01909E68">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95</w:t>
                  </w:r>
                </w:p>
              </w:tc>
              <w:tc>
                <w:tcPr>
                  <w:tcW w:w="1002" w:type="pct"/>
                  <w:vMerge w:val="continue"/>
                  <w:tcBorders>
                    <w:tl2br w:val="nil"/>
                    <w:tr2bl w:val="nil"/>
                  </w:tcBorders>
                  <w:noWrap w:val="0"/>
                  <w:vAlign w:val="center"/>
                </w:tcPr>
                <w:p w14:paraId="50500543">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31CB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5CB75FDB">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总砷（As），mg/</w:t>
                  </w: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kg</w:t>
                  </w:r>
                </w:p>
              </w:tc>
              <w:tc>
                <w:tcPr>
                  <w:tcW w:w="1002" w:type="pct"/>
                  <w:tcBorders>
                    <w:tl2br w:val="nil"/>
                    <w:tr2bl w:val="nil"/>
                  </w:tcBorders>
                  <w:noWrap w:val="0"/>
                  <w:vAlign w:val="center"/>
                </w:tcPr>
                <w:p w14:paraId="773DEFD3">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1002" w:type="pct"/>
                  <w:vMerge w:val="restart"/>
                  <w:tcBorders>
                    <w:tl2br w:val="nil"/>
                    <w:tr2bl w:val="nil"/>
                  </w:tcBorders>
                  <w:noWrap w:val="0"/>
                  <w:vAlign w:val="center"/>
                </w:tcPr>
                <w:p w14:paraId="4B8CA1CA">
                  <w:pPr>
                    <w:pStyle w:val="41"/>
                    <w:ind w:left="-53" w:right="-53"/>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限量指标</w:t>
                  </w:r>
                </w:p>
              </w:tc>
            </w:tr>
            <w:tr w14:paraId="1BC81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61792574">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总汞（Hg），mg/</w:t>
                  </w: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kg</w:t>
                  </w:r>
                </w:p>
              </w:tc>
              <w:tc>
                <w:tcPr>
                  <w:tcW w:w="1002" w:type="pct"/>
                  <w:tcBorders>
                    <w:tl2br w:val="nil"/>
                    <w:tr2bl w:val="nil"/>
                  </w:tcBorders>
                  <w:noWrap w:val="0"/>
                  <w:vAlign w:val="center"/>
                </w:tcPr>
                <w:p w14:paraId="1BE54E9A">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002" w:type="pct"/>
                  <w:vMerge w:val="continue"/>
                  <w:tcBorders>
                    <w:tl2br w:val="nil"/>
                    <w:tr2bl w:val="nil"/>
                  </w:tcBorders>
                  <w:noWrap w:val="0"/>
                  <w:vAlign w:val="center"/>
                </w:tcPr>
                <w:p w14:paraId="590340E1">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ED1A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39E56E8E">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总铅（Pb），mg/</w:t>
                  </w: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kg</w:t>
                  </w:r>
                </w:p>
              </w:tc>
              <w:tc>
                <w:tcPr>
                  <w:tcW w:w="1002" w:type="pct"/>
                  <w:tcBorders>
                    <w:tl2br w:val="nil"/>
                    <w:tr2bl w:val="nil"/>
                  </w:tcBorders>
                  <w:noWrap w:val="0"/>
                  <w:vAlign w:val="center"/>
                </w:tcPr>
                <w:p w14:paraId="5F41280A">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1002" w:type="pct"/>
                  <w:vMerge w:val="continue"/>
                  <w:tcBorders>
                    <w:tl2br w:val="nil"/>
                    <w:tr2bl w:val="nil"/>
                  </w:tcBorders>
                  <w:noWrap w:val="0"/>
                  <w:vAlign w:val="center"/>
                </w:tcPr>
                <w:p w14:paraId="7948AECE">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DC8A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17D38885">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总镉（Cd），mg/</w:t>
                  </w:r>
                  <w: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kg</w:t>
                  </w:r>
                </w:p>
              </w:tc>
              <w:tc>
                <w:tcPr>
                  <w:tcW w:w="1002" w:type="pct"/>
                  <w:tcBorders>
                    <w:tl2br w:val="nil"/>
                    <w:tr2bl w:val="nil"/>
                  </w:tcBorders>
                  <w:noWrap w:val="0"/>
                  <w:vAlign w:val="center"/>
                </w:tcPr>
                <w:p w14:paraId="2137D095">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1002" w:type="pct"/>
                  <w:vMerge w:val="continue"/>
                  <w:tcBorders>
                    <w:tl2br w:val="nil"/>
                    <w:tr2bl w:val="nil"/>
                  </w:tcBorders>
                  <w:noWrap w:val="0"/>
                  <w:vAlign w:val="center"/>
                </w:tcPr>
                <w:p w14:paraId="5E828374">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A2C8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2994" w:type="pct"/>
                  <w:tcBorders>
                    <w:tl2br w:val="nil"/>
                    <w:tr2bl w:val="nil"/>
                  </w:tcBorders>
                  <w:noWrap w:val="0"/>
                  <w:vAlign w:val="center"/>
                </w:tcPr>
                <w:p w14:paraId="5670B73D">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总铬（Cr），mg/</w:t>
                  </w:r>
                  <w:r>
                    <w:rPr>
                      <w:rFonts w:hint="eastAsia" w:eastAsia="宋体" w:cs="Times New Roman"/>
                      <w:color w:val="000000" w:themeColor="text1"/>
                      <w:sz w:val="21"/>
                      <w:szCs w:val="21"/>
                      <w:lang w:val="en-US" w:eastAsia="zh-CN"/>
                      <w14:textFill>
                        <w14:solidFill>
                          <w14:schemeClr w14:val="tx1"/>
                        </w14:solidFill>
                      </w14:textFill>
                    </w:rPr>
                    <w:t>kg</w:t>
                  </w:r>
                </w:p>
              </w:tc>
              <w:tc>
                <w:tcPr>
                  <w:tcW w:w="1002" w:type="pct"/>
                  <w:tcBorders>
                    <w:tl2br w:val="nil"/>
                    <w:tr2bl w:val="nil"/>
                  </w:tcBorders>
                  <w:noWrap w:val="0"/>
                  <w:vAlign w:val="center"/>
                </w:tcPr>
                <w:p w14:paraId="396265CB">
                  <w:pPr>
                    <w:pStyle w:val="41"/>
                    <w:keepNext w:val="0"/>
                    <w:keepLines w:val="0"/>
                    <w:pageBreakBefore w:val="0"/>
                    <w:widowControl w:val="0"/>
                    <w:kinsoku/>
                    <w:wordWrap/>
                    <w:overflowPunct/>
                    <w:topLinePunct w:val="0"/>
                    <w:autoSpaceDE/>
                    <w:autoSpaceDN/>
                    <w:bidi w:val="0"/>
                    <w:adjustRightInd w:val="0"/>
                    <w:snapToGrid w:val="0"/>
                    <w:spacing w:before="0" w:beforeLines="0" w:beforeAutospacing="0" w:afterLines="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w:t>
                  </w:r>
                </w:p>
              </w:tc>
              <w:tc>
                <w:tcPr>
                  <w:tcW w:w="1002" w:type="pct"/>
                  <w:vMerge w:val="continue"/>
                  <w:tcBorders>
                    <w:tl2br w:val="nil"/>
                    <w:tr2bl w:val="nil"/>
                  </w:tcBorders>
                  <w:noWrap w:val="0"/>
                  <w:vAlign w:val="center"/>
                </w:tcPr>
                <w:p w14:paraId="1AC777CB">
                  <w:pPr>
                    <w:pStyle w:val="41"/>
                    <w:ind w:left="-53" w:right="-53"/>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080B685F">
            <w:pPr>
              <w:widowControl/>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、项目主要生产设施</w:t>
            </w:r>
          </w:p>
          <w:p w14:paraId="5D81120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项目主要生产设施见表2-</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14:paraId="5D0E3C97">
            <w:pPr>
              <w:keepNext w:val="0"/>
              <w:keepLines w:val="0"/>
              <w:pageBreakBefore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表2-3</w:t>
            </w:r>
            <w:r>
              <w:rPr>
                <w:rFonts w:hint="default" w:ascii="Times New Roman" w:hAnsi="Times New Roman" w:eastAsia="宋体" w:cs="Times New Roman"/>
                <w:b/>
                <w:color w:val="000000" w:themeColor="text1"/>
                <w:sz w:val="21"/>
                <w:szCs w:val="21"/>
                <w14:textFill>
                  <w14:solidFill>
                    <w14:schemeClr w14:val="tx1"/>
                  </w14:solidFill>
                </w14:textFill>
              </w:rPr>
              <w:t xml:space="preserve">  主要生产设施一览表</w:t>
            </w:r>
          </w:p>
          <w:tbl>
            <w:tblPr>
              <w:tblStyle w:val="2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05"/>
              <w:gridCol w:w="2059"/>
              <w:gridCol w:w="2342"/>
              <w:gridCol w:w="825"/>
              <w:gridCol w:w="1111"/>
            </w:tblGrid>
            <w:tr w14:paraId="086C7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45663B69">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682" w:type="pct"/>
                  <w:tcBorders>
                    <w:tl2br w:val="nil"/>
                    <w:tr2bl w:val="nil"/>
                  </w:tcBorders>
                  <w:vAlign w:val="center"/>
                </w:tcPr>
                <w:p w14:paraId="3BF29656">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主要工序</w:t>
                  </w:r>
                </w:p>
              </w:tc>
              <w:tc>
                <w:tcPr>
                  <w:tcW w:w="1271" w:type="pct"/>
                  <w:tcBorders>
                    <w:tl2br w:val="nil"/>
                    <w:tr2bl w:val="nil"/>
                  </w:tcBorders>
                  <w:vAlign w:val="center"/>
                </w:tcPr>
                <w:p w14:paraId="2F18F5F0">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生产设施</w:t>
                  </w:r>
                </w:p>
              </w:tc>
              <w:tc>
                <w:tcPr>
                  <w:tcW w:w="1446" w:type="pct"/>
                  <w:tcBorders>
                    <w:tl2br w:val="nil"/>
                    <w:tr2bl w:val="nil"/>
                  </w:tcBorders>
                  <w:vAlign w:val="center"/>
                </w:tcPr>
                <w:p w14:paraId="7ADED3F6">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参数</w:t>
                  </w:r>
                </w:p>
              </w:tc>
              <w:tc>
                <w:tcPr>
                  <w:tcW w:w="509" w:type="pct"/>
                  <w:tcBorders>
                    <w:tl2br w:val="nil"/>
                    <w:tr2bl w:val="nil"/>
                  </w:tcBorders>
                  <w:vAlign w:val="center"/>
                </w:tcPr>
                <w:p w14:paraId="17C42F35">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数量</w:t>
                  </w:r>
                </w:p>
              </w:tc>
              <w:tc>
                <w:tcPr>
                  <w:tcW w:w="685" w:type="pct"/>
                  <w:tcBorders>
                    <w:tl2br w:val="nil"/>
                    <w:tr2bl w:val="nil"/>
                  </w:tcBorders>
                  <w:vAlign w:val="center"/>
                </w:tcPr>
                <w:p w14:paraId="7B2EA66D">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备注</w:t>
                  </w:r>
                </w:p>
              </w:tc>
            </w:tr>
            <w:tr w14:paraId="18B97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47BBDD5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682" w:type="pct"/>
                  <w:tcBorders>
                    <w:tl2br w:val="nil"/>
                    <w:tr2bl w:val="nil"/>
                  </w:tcBorders>
                  <w:vAlign w:val="center"/>
                </w:tcPr>
                <w:p w14:paraId="1E456DD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上料</w:t>
                  </w:r>
                </w:p>
              </w:tc>
              <w:tc>
                <w:tcPr>
                  <w:tcW w:w="1271" w:type="pct"/>
                  <w:tcBorders>
                    <w:tl2br w:val="nil"/>
                    <w:tr2bl w:val="nil"/>
                  </w:tcBorders>
                  <w:vAlign w:val="center"/>
                </w:tcPr>
                <w:p w14:paraId="0FD6647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铲车喂料机</w:t>
                  </w:r>
                </w:p>
              </w:tc>
              <w:tc>
                <w:tcPr>
                  <w:tcW w:w="1446" w:type="pct"/>
                  <w:tcBorders>
                    <w:tl2br w:val="nil"/>
                    <w:tr2bl w:val="nil"/>
                  </w:tcBorders>
                  <w:vAlign w:val="center"/>
                </w:tcPr>
                <w:p w14:paraId="30D54DE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5F42E43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58534A0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6A870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6BFDD69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682" w:type="pct"/>
                  <w:tcBorders>
                    <w:tl2br w:val="nil"/>
                    <w:tr2bl w:val="nil"/>
                  </w:tcBorders>
                  <w:vAlign w:val="center"/>
                </w:tcPr>
                <w:p w14:paraId="22DA4C0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切断</w:t>
                  </w:r>
                </w:p>
              </w:tc>
              <w:tc>
                <w:tcPr>
                  <w:tcW w:w="1271" w:type="pct"/>
                  <w:tcBorders>
                    <w:tl2br w:val="nil"/>
                    <w:tr2bl w:val="nil"/>
                  </w:tcBorders>
                  <w:vAlign w:val="center"/>
                </w:tcPr>
                <w:p w14:paraId="6D65AAB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切断机</w:t>
                  </w:r>
                </w:p>
              </w:tc>
              <w:tc>
                <w:tcPr>
                  <w:tcW w:w="1446" w:type="pct"/>
                  <w:tcBorders>
                    <w:tl2br w:val="nil"/>
                    <w:tr2bl w:val="nil"/>
                  </w:tcBorders>
                  <w:vAlign w:val="center"/>
                </w:tcPr>
                <w:p w14:paraId="39F6825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处理量：3t/h</w:t>
                  </w:r>
                </w:p>
              </w:tc>
              <w:tc>
                <w:tcPr>
                  <w:tcW w:w="509" w:type="pct"/>
                  <w:tcBorders>
                    <w:tl2br w:val="nil"/>
                    <w:tr2bl w:val="nil"/>
                  </w:tcBorders>
                  <w:vAlign w:val="center"/>
                </w:tcPr>
                <w:p w14:paraId="0451BDC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04C9CA60">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1DF5B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21109AD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682" w:type="pct"/>
                  <w:vMerge w:val="restart"/>
                  <w:tcBorders>
                    <w:tl2br w:val="nil"/>
                    <w:tr2bl w:val="nil"/>
                  </w:tcBorders>
                  <w:vAlign w:val="center"/>
                </w:tcPr>
                <w:p w14:paraId="1F9FC10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输送</w:t>
                  </w:r>
                </w:p>
              </w:tc>
              <w:tc>
                <w:tcPr>
                  <w:tcW w:w="1271" w:type="pct"/>
                  <w:tcBorders>
                    <w:tl2br w:val="nil"/>
                    <w:tr2bl w:val="nil"/>
                  </w:tcBorders>
                  <w:vAlign w:val="center"/>
                </w:tcPr>
                <w:p w14:paraId="44B012E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皮带机</w:t>
                  </w:r>
                </w:p>
              </w:tc>
              <w:tc>
                <w:tcPr>
                  <w:tcW w:w="1446" w:type="pct"/>
                  <w:tcBorders>
                    <w:tl2br w:val="nil"/>
                    <w:tr2bl w:val="nil"/>
                  </w:tcBorders>
                  <w:vAlign w:val="center"/>
                </w:tcPr>
                <w:p w14:paraId="4FCE52C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5m、6m、7m、8m、9m、10m</w:t>
                  </w:r>
                </w:p>
              </w:tc>
              <w:tc>
                <w:tcPr>
                  <w:tcW w:w="509" w:type="pct"/>
                  <w:tcBorders>
                    <w:tl2br w:val="nil"/>
                    <w:tr2bl w:val="nil"/>
                  </w:tcBorders>
                  <w:vAlign w:val="center"/>
                </w:tcPr>
                <w:p w14:paraId="6CF6E71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各1台</w:t>
                  </w:r>
                </w:p>
              </w:tc>
              <w:tc>
                <w:tcPr>
                  <w:tcW w:w="685" w:type="pct"/>
                  <w:tcBorders>
                    <w:tl2br w:val="nil"/>
                    <w:tr2bl w:val="nil"/>
                  </w:tcBorders>
                  <w:vAlign w:val="center"/>
                </w:tcPr>
                <w:p w14:paraId="22F9E9C7">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46BEE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63ED20A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682" w:type="pct"/>
                  <w:vMerge w:val="continue"/>
                  <w:tcBorders>
                    <w:tl2br w:val="nil"/>
                    <w:tr2bl w:val="nil"/>
                  </w:tcBorders>
                  <w:vAlign w:val="center"/>
                </w:tcPr>
                <w:p w14:paraId="6835BE4C">
                  <w:pPr>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271" w:type="pct"/>
                  <w:tcBorders>
                    <w:tl2br w:val="nil"/>
                    <w:tr2bl w:val="nil"/>
                  </w:tcBorders>
                  <w:vAlign w:val="center"/>
                </w:tcPr>
                <w:p w14:paraId="1CC15B6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皮带机</w:t>
                  </w:r>
                </w:p>
              </w:tc>
              <w:tc>
                <w:tcPr>
                  <w:tcW w:w="1446" w:type="pct"/>
                  <w:tcBorders>
                    <w:tl2br w:val="nil"/>
                    <w:tr2bl w:val="nil"/>
                  </w:tcBorders>
                  <w:vAlign w:val="center"/>
                </w:tcPr>
                <w:p w14:paraId="4D34C44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4m</w:t>
                  </w:r>
                </w:p>
              </w:tc>
              <w:tc>
                <w:tcPr>
                  <w:tcW w:w="509" w:type="pct"/>
                  <w:tcBorders>
                    <w:tl2br w:val="nil"/>
                    <w:tr2bl w:val="nil"/>
                  </w:tcBorders>
                  <w:vAlign w:val="center"/>
                </w:tcPr>
                <w:p w14:paraId="76FBE30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0A9C7A10">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03097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42A6C4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82" w:type="pct"/>
                  <w:vMerge w:val="continue"/>
                  <w:tcBorders>
                    <w:tl2br w:val="nil"/>
                    <w:tr2bl w:val="nil"/>
                  </w:tcBorders>
                  <w:vAlign w:val="center"/>
                </w:tcPr>
                <w:p w14:paraId="5BAFF306">
                  <w:pPr>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271" w:type="pct"/>
                  <w:tcBorders>
                    <w:tl2br w:val="nil"/>
                    <w:tr2bl w:val="nil"/>
                  </w:tcBorders>
                  <w:vAlign w:val="center"/>
                </w:tcPr>
                <w:p w14:paraId="6EC6A4D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皮带机</w:t>
                  </w:r>
                </w:p>
              </w:tc>
              <w:tc>
                <w:tcPr>
                  <w:tcW w:w="1446" w:type="pct"/>
                  <w:tcBorders>
                    <w:tl2br w:val="nil"/>
                    <w:tr2bl w:val="nil"/>
                  </w:tcBorders>
                  <w:vAlign w:val="center"/>
                </w:tcPr>
                <w:p w14:paraId="1752118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w:t>
                  </w:r>
                  <w:r>
                    <w:rPr>
                      <w:rFonts w:hint="default" w:ascii="Times New Roman" w:hAnsi="Times New Roman" w:cs="Times New Roman"/>
                      <w:color w:val="000000" w:themeColor="text1"/>
                      <w:szCs w:val="21"/>
                      <w:lang w:val="en-US" w:eastAsia="zh-CN"/>
                      <w14:textFill>
                        <w14:solidFill>
                          <w14:schemeClr w14:val="tx1"/>
                        </w14:solidFill>
                      </w14:textFill>
                    </w:rPr>
                    <w:t>m</w:t>
                  </w:r>
                </w:p>
              </w:tc>
              <w:tc>
                <w:tcPr>
                  <w:tcW w:w="509" w:type="pct"/>
                  <w:tcBorders>
                    <w:tl2br w:val="nil"/>
                    <w:tr2bl w:val="nil"/>
                  </w:tcBorders>
                  <w:vAlign w:val="center"/>
                </w:tcPr>
                <w:p w14:paraId="6AC371AB">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2DD6260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02481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1579483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682" w:type="pct"/>
                  <w:tcBorders>
                    <w:tl2br w:val="nil"/>
                    <w:tr2bl w:val="nil"/>
                  </w:tcBorders>
                  <w:vAlign w:val="center"/>
                </w:tcPr>
                <w:p w14:paraId="73ECF60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粉碎</w:t>
                  </w:r>
                </w:p>
              </w:tc>
              <w:tc>
                <w:tcPr>
                  <w:tcW w:w="1271" w:type="pct"/>
                  <w:tcBorders>
                    <w:tl2br w:val="nil"/>
                    <w:tr2bl w:val="nil"/>
                  </w:tcBorders>
                  <w:vAlign w:val="center"/>
                </w:tcPr>
                <w:p w14:paraId="34F696E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粉碎机</w:t>
                  </w:r>
                </w:p>
              </w:tc>
              <w:tc>
                <w:tcPr>
                  <w:tcW w:w="1446" w:type="pct"/>
                  <w:tcBorders>
                    <w:tl2br w:val="nil"/>
                    <w:tr2bl w:val="nil"/>
                  </w:tcBorders>
                  <w:vAlign w:val="center"/>
                </w:tcPr>
                <w:p w14:paraId="3830EFE2">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740BE97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2799DB9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5E937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1991AFE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682" w:type="pct"/>
                  <w:tcBorders>
                    <w:tl2br w:val="nil"/>
                    <w:tr2bl w:val="nil"/>
                  </w:tcBorders>
                  <w:vAlign w:val="center"/>
                </w:tcPr>
                <w:p w14:paraId="28772E0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筛分</w:t>
                  </w:r>
                </w:p>
              </w:tc>
              <w:tc>
                <w:tcPr>
                  <w:tcW w:w="1271" w:type="pct"/>
                  <w:tcBorders>
                    <w:tl2br w:val="nil"/>
                    <w:tr2bl w:val="nil"/>
                  </w:tcBorders>
                  <w:vAlign w:val="center"/>
                </w:tcPr>
                <w:p w14:paraId="5810424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滚筒筛分机</w:t>
                  </w:r>
                </w:p>
              </w:tc>
              <w:tc>
                <w:tcPr>
                  <w:tcW w:w="1446" w:type="pct"/>
                  <w:tcBorders>
                    <w:tl2br w:val="nil"/>
                    <w:tr2bl w:val="nil"/>
                  </w:tcBorders>
                  <w:vAlign w:val="center"/>
                </w:tcPr>
                <w:p w14:paraId="33FC31C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处理量：10t/h</w:t>
                  </w:r>
                </w:p>
              </w:tc>
              <w:tc>
                <w:tcPr>
                  <w:tcW w:w="509" w:type="pct"/>
                  <w:tcBorders>
                    <w:tl2br w:val="nil"/>
                    <w:tr2bl w:val="nil"/>
                  </w:tcBorders>
                  <w:vAlign w:val="center"/>
                </w:tcPr>
                <w:p w14:paraId="4AE18D0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396A1AC7">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C1FD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766A364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682" w:type="pct"/>
                  <w:tcBorders>
                    <w:tl2br w:val="nil"/>
                    <w:tr2bl w:val="nil"/>
                  </w:tcBorders>
                  <w:vAlign w:val="center"/>
                </w:tcPr>
                <w:p w14:paraId="1F2106C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搅拌</w:t>
                  </w:r>
                </w:p>
              </w:tc>
              <w:tc>
                <w:tcPr>
                  <w:tcW w:w="1271" w:type="pct"/>
                  <w:tcBorders>
                    <w:tl2br w:val="nil"/>
                    <w:tr2bl w:val="nil"/>
                  </w:tcBorders>
                  <w:vAlign w:val="center"/>
                </w:tcPr>
                <w:p w14:paraId="7DAE7C9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双轴搅拌机</w:t>
                  </w:r>
                </w:p>
              </w:tc>
              <w:tc>
                <w:tcPr>
                  <w:tcW w:w="1446" w:type="pct"/>
                  <w:tcBorders>
                    <w:tl2br w:val="nil"/>
                    <w:tr2bl w:val="nil"/>
                  </w:tcBorders>
                  <w:vAlign w:val="center"/>
                </w:tcPr>
                <w:p w14:paraId="0BCDA897">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3F08EC5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2AFDB9A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34B32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1AD69882">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682" w:type="pct"/>
                  <w:tcBorders>
                    <w:tl2br w:val="nil"/>
                    <w:tr2bl w:val="nil"/>
                  </w:tcBorders>
                  <w:vAlign w:val="center"/>
                </w:tcPr>
                <w:p w14:paraId="0D37800B">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翻抛</w:t>
                  </w:r>
                </w:p>
              </w:tc>
              <w:tc>
                <w:tcPr>
                  <w:tcW w:w="1271" w:type="pct"/>
                  <w:tcBorders>
                    <w:tl2br w:val="nil"/>
                    <w:tr2bl w:val="nil"/>
                  </w:tcBorders>
                  <w:vAlign w:val="center"/>
                </w:tcPr>
                <w:p w14:paraId="44A5733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翻抛机</w:t>
                  </w:r>
                </w:p>
              </w:tc>
              <w:tc>
                <w:tcPr>
                  <w:tcW w:w="1446" w:type="pct"/>
                  <w:tcBorders>
                    <w:tl2br w:val="nil"/>
                    <w:tr2bl w:val="nil"/>
                  </w:tcBorders>
                  <w:vAlign w:val="center"/>
                </w:tcPr>
                <w:p w14:paraId="1B65DC1B">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63018CC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0A4526AB">
                  <w:pPr>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430A7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5CEE0CD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682" w:type="pct"/>
                  <w:tcBorders>
                    <w:tl2br w:val="nil"/>
                    <w:tr2bl w:val="nil"/>
                  </w:tcBorders>
                  <w:vAlign w:val="center"/>
                </w:tcPr>
                <w:p w14:paraId="67C4C1F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分料</w:t>
                  </w:r>
                </w:p>
              </w:tc>
              <w:tc>
                <w:tcPr>
                  <w:tcW w:w="1271" w:type="pct"/>
                  <w:tcBorders>
                    <w:tl2br w:val="nil"/>
                    <w:tr2bl w:val="nil"/>
                  </w:tcBorders>
                  <w:vAlign w:val="center"/>
                </w:tcPr>
                <w:p w14:paraId="1737A35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三通分料器</w:t>
                  </w:r>
                </w:p>
              </w:tc>
              <w:tc>
                <w:tcPr>
                  <w:tcW w:w="1446" w:type="pct"/>
                  <w:tcBorders>
                    <w:tl2br w:val="nil"/>
                    <w:tr2bl w:val="nil"/>
                  </w:tcBorders>
                  <w:vAlign w:val="center"/>
                </w:tcPr>
                <w:p w14:paraId="389B3B8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7464E3C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3D137D0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0D233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261F6F3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p>
              </w:tc>
              <w:tc>
                <w:tcPr>
                  <w:tcW w:w="682" w:type="pct"/>
                  <w:tcBorders>
                    <w:tl2br w:val="nil"/>
                    <w:tr2bl w:val="nil"/>
                  </w:tcBorders>
                  <w:vAlign w:val="center"/>
                </w:tcPr>
                <w:p w14:paraId="15D2913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造粒</w:t>
                  </w:r>
                </w:p>
              </w:tc>
              <w:tc>
                <w:tcPr>
                  <w:tcW w:w="1271" w:type="pct"/>
                  <w:tcBorders>
                    <w:tl2br w:val="nil"/>
                    <w:tr2bl w:val="nil"/>
                  </w:tcBorders>
                  <w:vAlign w:val="center"/>
                </w:tcPr>
                <w:p w14:paraId="1BF9F19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造粒机</w:t>
                  </w:r>
                </w:p>
              </w:tc>
              <w:tc>
                <w:tcPr>
                  <w:tcW w:w="1446" w:type="pct"/>
                  <w:tcBorders>
                    <w:tl2br w:val="nil"/>
                    <w:tr2bl w:val="nil"/>
                  </w:tcBorders>
                  <w:vAlign w:val="center"/>
                </w:tcPr>
                <w:p w14:paraId="53A40F0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处理量：3t/h</w:t>
                  </w:r>
                </w:p>
              </w:tc>
              <w:tc>
                <w:tcPr>
                  <w:tcW w:w="509" w:type="pct"/>
                  <w:tcBorders>
                    <w:tl2br w:val="nil"/>
                    <w:tr2bl w:val="nil"/>
                  </w:tcBorders>
                  <w:vAlign w:val="center"/>
                </w:tcPr>
                <w:p w14:paraId="5197843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2台</w:t>
                  </w:r>
                </w:p>
              </w:tc>
              <w:tc>
                <w:tcPr>
                  <w:tcW w:w="685" w:type="pct"/>
                  <w:tcBorders>
                    <w:tl2br w:val="nil"/>
                    <w:tr2bl w:val="nil"/>
                  </w:tcBorders>
                  <w:vAlign w:val="center"/>
                </w:tcPr>
                <w:p w14:paraId="3F6B44D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5FA9F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1EF89DC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12</w:t>
                  </w:r>
                </w:p>
              </w:tc>
              <w:tc>
                <w:tcPr>
                  <w:tcW w:w="682" w:type="pct"/>
                  <w:tcBorders>
                    <w:tl2br w:val="nil"/>
                    <w:tr2bl w:val="nil"/>
                  </w:tcBorders>
                  <w:vAlign w:val="center"/>
                </w:tcPr>
                <w:p w14:paraId="787A061A">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烘干</w:t>
                  </w:r>
                </w:p>
              </w:tc>
              <w:tc>
                <w:tcPr>
                  <w:tcW w:w="1271" w:type="pct"/>
                  <w:tcBorders>
                    <w:tl2br w:val="nil"/>
                    <w:tr2bl w:val="nil"/>
                  </w:tcBorders>
                  <w:vAlign w:val="center"/>
                </w:tcPr>
                <w:p w14:paraId="791E249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滚筒式烘干机</w:t>
                  </w:r>
                </w:p>
              </w:tc>
              <w:tc>
                <w:tcPr>
                  <w:tcW w:w="1446" w:type="pct"/>
                  <w:tcBorders>
                    <w:tl2br w:val="nil"/>
                    <w:tr2bl w:val="nil"/>
                  </w:tcBorders>
                  <w:vAlign w:val="center"/>
                </w:tcPr>
                <w:p w14:paraId="29EF6BB7">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3AE2865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18FCEE4F">
                  <w:pPr>
                    <w:jc w:val="center"/>
                    <w:rPr>
                      <w:rFonts w:hint="default" w:ascii="Times New Roman" w:hAnsi="Times New Roman" w:cs="Times New Roman"/>
                      <w:color w:val="000000" w:themeColor="text1"/>
                      <w:szCs w:val="21"/>
                      <w:lang w:val="en-US" w:eastAsia="zh-CN"/>
                      <w14:textFill>
                        <w14:solidFill>
                          <w14:schemeClr w14:val="tx1"/>
                        </w14:solidFill>
                      </w14:textFill>
                    </w:rPr>
                  </w:pPr>
                </w:p>
              </w:tc>
            </w:tr>
            <w:tr w14:paraId="7B3B7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6D632AD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13</w:t>
                  </w:r>
                </w:p>
              </w:tc>
              <w:tc>
                <w:tcPr>
                  <w:tcW w:w="682" w:type="pct"/>
                  <w:tcBorders>
                    <w:tl2br w:val="nil"/>
                    <w:tr2bl w:val="nil"/>
                  </w:tcBorders>
                  <w:vAlign w:val="center"/>
                </w:tcPr>
                <w:p w14:paraId="68F8F75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包装</w:t>
                  </w:r>
                </w:p>
              </w:tc>
              <w:tc>
                <w:tcPr>
                  <w:tcW w:w="1271" w:type="pct"/>
                  <w:tcBorders>
                    <w:tl2br w:val="nil"/>
                    <w:tr2bl w:val="nil"/>
                  </w:tcBorders>
                  <w:vAlign w:val="center"/>
                </w:tcPr>
                <w:p w14:paraId="0F705B5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包装机</w:t>
                  </w:r>
                </w:p>
              </w:tc>
              <w:tc>
                <w:tcPr>
                  <w:tcW w:w="1446" w:type="pct"/>
                  <w:tcBorders>
                    <w:tl2br w:val="nil"/>
                    <w:tr2bl w:val="nil"/>
                  </w:tcBorders>
                  <w:vAlign w:val="center"/>
                </w:tcPr>
                <w:p w14:paraId="20A52EC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处理量：5t/h</w:t>
                  </w:r>
                </w:p>
              </w:tc>
              <w:tc>
                <w:tcPr>
                  <w:tcW w:w="509" w:type="pct"/>
                  <w:tcBorders>
                    <w:tl2br w:val="nil"/>
                    <w:tr2bl w:val="nil"/>
                  </w:tcBorders>
                  <w:vAlign w:val="center"/>
                </w:tcPr>
                <w:p w14:paraId="4311C15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7FDC5A9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3B86A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7075727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14</w:t>
                  </w:r>
                </w:p>
              </w:tc>
              <w:tc>
                <w:tcPr>
                  <w:tcW w:w="682" w:type="pct"/>
                  <w:tcBorders>
                    <w:tl2br w:val="nil"/>
                    <w:tr2bl w:val="nil"/>
                  </w:tcBorders>
                  <w:vAlign w:val="center"/>
                </w:tcPr>
                <w:p w14:paraId="1B0E2F0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装料</w:t>
                  </w:r>
                </w:p>
              </w:tc>
              <w:tc>
                <w:tcPr>
                  <w:tcW w:w="1271" w:type="pct"/>
                  <w:tcBorders>
                    <w:tl2br w:val="nil"/>
                    <w:tr2bl w:val="nil"/>
                  </w:tcBorders>
                  <w:vAlign w:val="center"/>
                </w:tcPr>
                <w:p w14:paraId="6F6EA6F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装料斗</w:t>
                  </w:r>
                </w:p>
              </w:tc>
              <w:tc>
                <w:tcPr>
                  <w:tcW w:w="1446" w:type="pct"/>
                  <w:tcBorders>
                    <w:tl2br w:val="nil"/>
                    <w:tr2bl w:val="nil"/>
                  </w:tcBorders>
                  <w:vAlign w:val="center"/>
                </w:tcPr>
                <w:p w14:paraId="1EC6565D">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处理量：10t/h</w:t>
                  </w:r>
                </w:p>
              </w:tc>
              <w:tc>
                <w:tcPr>
                  <w:tcW w:w="509" w:type="pct"/>
                  <w:tcBorders>
                    <w:tl2br w:val="nil"/>
                    <w:tr2bl w:val="nil"/>
                  </w:tcBorders>
                  <w:vAlign w:val="center"/>
                </w:tcPr>
                <w:p w14:paraId="27B7DB4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7B3CC102">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4E19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151BB0A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15</w:t>
                  </w:r>
                </w:p>
              </w:tc>
              <w:tc>
                <w:tcPr>
                  <w:tcW w:w="682" w:type="pct"/>
                  <w:tcBorders>
                    <w:tl2br w:val="nil"/>
                    <w:tr2bl w:val="nil"/>
                  </w:tcBorders>
                  <w:vAlign w:val="center"/>
                </w:tcPr>
                <w:p w14:paraId="0CE8C07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运输</w:t>
                  </w:r>
                </w:p>
              </w:tc>
              <w:tc>
                <w:tcPr>
                  <w:tcW w:w="1271" w:type="pct"/>
                  <w:tcBorders>
                    <w:tl2br w:val="nil"/>
                    <w:tr2bl w:val="nil"/>
                  </w:tcBorders>
                  <w:vAlign w:val="center"/>
                </w:tcPr>
                <w:p w14:paraId="5387D56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装载机</w:t>
                  </w:r>
                </w:p>
              </w:tc>
              <w:tc>
                <w:tcPr>
                  <w:tcW w:w="1446" w:type="pct"/>
                  <w:tcBorders>
                    <w:tl2br w:val="nil"/>
                    <w:tr2bl w:val="nil"/>
                  </w:tcBorders>
                  <w:vAlign w:val="center"/>
                </w:tcPr>
                <w:p w14:paraId="2E06BA9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09" w:type="pct"/>
                  <w:tcBorders>
                    <w:tl2br w:val="nil"/>
                    <w:tr2bl w:val="nil"/>
                  </w:tcBorders>
                  <w:vAlign w:val="center"/>
                </w:tcPr>
                <w:p w14:paraId="693CB98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1辆</w:t>
                  </w:r>
                </w:p>
              </w:tc>
              <w:tc>
                <w:tcPr>
                  <w:tcW w:w="685" w:type="pct"/>
                  <w:tcBorders>
                    <w:tl2br w:val="nil"/>
                    <w:tr2bl w:val="nil"/>
                  </w:tcBorders>
                  <w:vAlign w:val="center"/>
                </w:tcPr>
                <w:p w14:paraId="48D66AD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3A945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08A3B5E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w:t>
                  </w:r>
                </w:p>
              </w:tc>
              <w:tc>
                <w:tcPr>
                  <w:tcW w:w="682" w:type="pct"/>
                  <w:tcBorders>
                    <w:tl2br w:val="nil"/>
                    <w:tr2bl w:val="nil"/>
                  </w:tcBorders>
                  <w:vAlign w:val="center"/>
                </w:tcPr>
                <w:p w14:paraId="4BD8003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装卸料</w:t>
                  </w:r>
                </w:p>
              </w:tc>
              <w:tc>
                <w:tcPr>
                  <w:tcW w:w="1271" w:type="pct"/>
                  <w:tcBorders>
                    <w:tl2br w:val="nil"/>
                    <w:tr2bl w:val="nil"/>
                  </w:tcBorders>
                  <w:vAlign w:val="center"/>
                </w:tcPr>
                <w:p w14:paraId="249F9E9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自卸汽车</w:t>
                  </w:r>
                </w:p>
              </w:tc>
              <w:tc>
                <w:tcPr>
                  <w:tcW w:w="1446" w:type="pct"/>
                  <w:tcBorders>
                    <w:tl2br w:val="nil"/>
                    <w:tr2bl w:val="nil"/>
                  </w:tcBorders>
                  <w:vAlign w:val="center"/>
                </w:tcPr>
                <w:p w14:paraId="608BBBF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509" w:type="pct"/>
                  <w:tcBorders>
                    <w:tl2br w:val="nil"/>
                    <w:tr2bl w:val="nil"/>
                  </w:tcBorders>
                  <w:vAlign w:val="center"/>
                </w:tcPr>
                <w:p w14:paraId="33E6370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1辆</w:t>
                  </w:r>
                </w:p>
              </w:tc>
              <w:tc>
                <w:tcPr>
                  <w:tcW w:w="685" w:type="pct"/>
                  <w:tcBorders>
                    <w:tl2br w:val="nil"/>
                    <w:tr2bl w:val="nil"/>
                  </w:tcBorders>
                  <w:vAlign w:val="center"/>
                </w:tcPr>
                <w:p w14:paraId="78FAD72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5E27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4C1797F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17</w:t>
                  </w:r>
                </w:p>
              </w:tc>
              <w:tc>
                <w:tcPr>
                  <w:tcW w:w="682" w:type="pct"/>
                  <w:tcBorders>
                    <w:tl2br w:val="nil"/>
                    <w:tr2bl w:val="nil"/>
                  </w:tcBorders>
                  <w:vAlign w:val="center"/>
                </w:tcPr>
                <w:p w14:paraId="1DEFDBC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物料输送</w:t>
                  </w:r>
                </w:p>
              </w:tc>
              <w:tc>
                <w:tcPr>
                  <w:tcW w:w="1271" w:type="pct"/>
                  <w:tcBorders>
                    <w:tl2br w:val="nil"/>
                    <w:tr2bl w:val="nil"/>
                  </w:tcBorders>
                  <w:vAlign w:val="center"/>
                </w:tcPr>
                <w:p w14:paraId="6E3EC2A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输送机</w:t>
                  </w:r>
                </w:p>
              </w:tc>
              <w:tc>
                <w:tcPr>
                  <w:tcW w:w="1446" w:type="pct"/>
                  <w:tcBorders>
                    <w:tl2br w:val="nil"/>
                    <w:tr2bl w:val="nil"/>
                  </w:tcBorders>
                  <w:vAlign w:val="center"/>
                </w:tcPr>
                <w:p w14:paraId="7F0FE59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20m</w:t>
                  </w:r>
                </w:p>
              </w:tc>
              <w:tc>
                <w:tcPr>
                  <w:tcW w:w="509" w:type="pct"/>
                  <w:tcBorders>
                    <w:tl2br w:val="nil"/>
                    <w:tr2bl w:val="nil"/>
                  </w:tcBorders>
                  <w:vAlign w:val="center"/>
                </w:tcPr>
                <w:p w14:paraId="5C8A2C5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0BDC8EE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7E5DE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558DCD9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w:t>
                  </w:r>
                </w:p>
              </w:tc>
              <w:tc>
                <w:tcPr>
                  <w:tcW w:w="682" w:type="pct"/>
                  <w:tcBorders>
                    <w:tl2br w:val="nil"/>
                    <w:tr2bl w:val="nil"/>
                  </w:tcBorders>
                  <w:vAlign w:val="center"/>
                </w:tcPr>
                <w:p w14:paraId="5BDCEDE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称重</w:t>
                  </w:r>
                </w:p>
              </w:tc>
              <w:tc>
                <w:tcPr>
                  <w:tcW w:w="1271" w:type="pct"/>
                  <w:tcBorders>
                    <w:tl2br w:val="nil"/>
                    <w:tr2bl w:val="nil"/>
                  </w:tcBorders>
                  <w:vAlign w:val="center"/>
                </w:tcPr>
                <w:p w14:paraId="176F7C2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电子磅</w:t>
                  </w:r>
                </w:p>
              </w:tc>
              <w:tc>
                <w:tcPr>
                  <w:tcW w:w="1446" w:type="pct"/>
                  <w:tcBorders>
                    <w:tl2br w:val="nil"/>
                    <w:tr2bl w:val="nil"/>
                  </w:tcBorders>
                  <w:vAlign w:val="center"/>
                </w:tcPr>
                <w:p w14:paraId="3202C47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30t</w:t>
                  </w:r>
                </w:p>
              </w:tc>
              <w:tc>
                <w:tcPr>
                  <w:tcW w:w="509" w:type="pct"/>
                  <w:tcBorders>
                    <w:tl2br w:val="nil"/>
                    <w:tr2bl w:val="nil"/>
                  </w:tcBorders>
                  <w:vAlign w:val="center"/>
                </w:tcPr>
                <w:p w14:paraId="227D9B2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37C8414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11515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36A6BE7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19</w:t>
                  </w:r>
                </w:p>
              </w:tc>
              <w:tc>
                <w:tcPr>
                  <w:tcW w:w="682" w:type="pct"/>
                  <w:tcBorders>
                    <w:tl2br w:val="nil"/>
                    <w:tr2bl w:val="nil"/>
                  </w:tcBorders>
                  <w:vAlign w:val="center"/>
                </w:tcPr>
                <w:p w14:paraId="7F32731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除尘</w:t>
                  </w:r>
                </w:p>
              </w:tc>
              <w:tc>
                <w:tcPr>
                  <w:tcW w:w="1271" w:type="pct"/>
                  <w:tcBorders>
                    <w:tl2br w:val="nil"/>
                    <w:tr2bl w:val="nil"/>
                  </w:tcBorders>
                  <w:vAlign w:val="center"/>
                </w:tcPr>
                <w:p w14:paraId="73C034E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旋风+</w:t>
                  </w:r>
                  <w:r>
                    <w:rPr>
                      <w:rFonts w:hint="eastAsia" w:cs="Times New Roman"/>
                      <w:color w:val="000000" w:themeColor="text1"/>
                      <w:szCs w:val="21"/>
                      <w:lang w:val="en-US" w:eastAsia="zh-CN"/>
                      <w14:textFill>
                        <w14:solidFill>
                          <w14:schemeClr w14:val="tx1"/>
                        </w14:solidFill>
                      </w14:textFill>
                    </w:rPr>
                    <w:t>布袋+二级</w:t>
                  </w:r>
                  <w:r>
                    <w:rPr>
                      <w:rFonts w:hint="default" w:ascii="Times New Roman" w:hAnsi="Times New Roman" w:cs="Times New Roman"/>
                      <w:color w:val="000000" w:themeColor="text1"/>
                      <w:szCs w:val="21"/>
                      <w:lang w:val="en-US" w:eastAsia="zh-CN"/>
                      <w14:textFill>
                        <w14:solidFill>
                          <w14:schemeClr w14:val="tx1"/>
                        </w14:solidFill>
                      </w14:textFill>
                    </w:rPr>
                    <w:t>除尘室</w:t>
                  </w:r>
                </w:p>
              </w:tc>
              <w:tc>
                <w:tcPr>
                  <w:tcW w:w="1446" w:type="pct"/>
                  <w:tcBorders>
                    <w:tl2br w:val="nil"/>
                    <w:tr2bl w:val="nil"/>
                  </w:tcBorders>
                  <w:vAlign w:val="center"/>
                </w:tcPr>
                <w:p w14:paraId="47A8218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风机风量10000m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/h</w:t>
                  </w:r>
                </w:p>
              </w:tc>
              <w:tc>
                <w:tcPr>
                  <w:tcW w:w="509" w:type="pct"/>
                  <w:tcBorders>
                    <w:tl2br w:val="nil"/>
                    <w:tr2bl w:val="nil"/>
                  </w:tcBorders>
                  <w:vAlign w:val="center"/>
                </w:tcPr>
                <w:p w14:paraId="3C8EF33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594B38A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19A65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4452359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20</w:t>
                  </w:r>
                </w:p>
              </w:tc>
              <w:tc>
                <w:tcPr>
                  <w:tcW w:w="682" w:type="pct"/>
                  <w:tcBorders>
                    <w:tl2br w:val="nil"/>
                    <w:tr2bl w:val="nil"/>
                  </w:tcBorders>
                  <w:vAlign w:val="center"/>
                </w:tcPr>
                <w:p w14:paraId="783A40E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除臭</w:t>
                  </w:r>
                </w:p>
              </w:tc>
              <w:tc>
                <w:tcPr>
                  <w:tcW w:w="1271" w:type="pct"/>
                  <w:tcBorders>
                    <w:tl2br w:val="nil"/>
                    <w:tr2bl w:val="nil"/>
                  </w:tcBorders>
                  <w:vAlign w:val="center"/>
                </w:tcPr>
                <w:p w14:paraId="2C14F69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一体化生物滤池</w:t>
                  </w:r>
                </w:p>
              </w:tc>
              <w:tc>
                <w:tcPr>
                  <w:tcW w:w="1446" w:type="pct"/>
                  <w:tcBorders>
                    <w:tl2br w:val="nil"/>
                    <w:tr2bl w:val="nil"/>
                  </w:tcBorders>
                  <w:vAlign w:val="center"/>
                </w:tcPr>
                <w:p w14:paraId="37EF93E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风机风量</w:t>
                  </w:r>
                  <w:r>
                    <w:rPr>
                      <w:rFonts w:hint="eastAsia" w:cs="Times New Roman"/>
                      <w:color w:val="000000" w:themeColor="text1"/>
                      <w:szCs w:val="21"/>
                      <w:lang w:val="en-US" w:eastAsia="zh-CN"/>
                      <w14:textFill>
                        <w14:solidFill>
                          <w14:schemeClr w14:val="tx1"/>
                        </w14:solidFill>
                      </w14:textFill>
                    </w:rPr>
                    <w:t>120</w:t>
                  </w:r>
                  <w:r>
                    <w:rPr>
                      <w:rFonts w:hint="default" w:ascii="Times New Roman" w:hAnsi="Times New Roman" w:cs="Times New Roman"/>
                      <w:color w:val="000000" w:themeColor="text1"/>
                      <w:szCs w:val="21"/>
                      <w:lang w:val="en-US" w:eastAsia="zh-CN"/>
                      <w14:textFill>
                        <w14:solidFill>
                          <w14:schemeClr w14:val="tx1"/>
                        </w14:solidFill>
                      </w14:textFill>
                    </w:rPr>
                    <w:t>00m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/h</w:t>
                  </w:r>
                </w:p>
              </w:tc>
              <w:tc>
                <w:tcPr>
                  <w:tcW w:w="509" w:type="pct"/>
                  <w:tcBorders>
                    <w:tl2br w:val="nil"/>
                    <w:tr2bl w:val="nil"/>
                  </w:tcBorders>
                  <w:vAlign w:val="center"/>
                </w:tcPr>
                <w:p w14:paraId="33B7E3F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71E3B9A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F4A2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3EBE16E2">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21</w:t>
                  </w:r>
                </w:p>
              </w:tc>
              <w:tc>
                <w:tcPr>
                  <w:tcW w:w="682" w:type="pct"/>
                  <w:tcBorders>
                    <w:tl2br w:val="nil"/>
                    <w:tr2bl w:val="nil"/>
                  </w:tcBorders>
                  <w:vAlign w:val="center"/>
                </w:tcPr>
                <w:p w14:paraId="003FD23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渗滤液收集</w:t>
                  </w:r>
                </w:p>
              </w:tc>
              <w:tc>
                <w:tcPr>
                  <w:tcW w:w="1271" w:type="pct"/>
                  <w:tcBorders>
                    <w:tl2br w:val="nil"/>
                    <w:tr2bl w:val="nil"/>
                  </w:tcBorders>
                  <w:vAlign w:val="center"/>
                </w:tcPr>
                <w:p w14:paraId="08A96DEA">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渗滤液收集池</w:t>
                  </w:r>
                </w:p>
              </w:tc>
              <w:tc>
                <w:tcPr>
                  <w:tcW w:w="1446" w:type="pct"/>
                  <w:tcBorders>
                    <w:tl2br w:val="nil"/>
                    <w:tr2bl w:val="nil"/>
                  </w:tcBorders>
                  <w:vAlign w:val="center"/>
                </w:tcPr>
                <w:p w14:paraId="56ADC30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容积：1.5m</w:t>
                  </w:r>
                  <w:r>
                    <w:rPr>
                      <w:rFonts w:hint="eastAsia" w:cs="Times New Roman"/>
                      <w:color w:val="000000" w:themeColor="text1"/>
                      <w:szCs w:val="21"/>
                      <w:vertAlign w:val="superscript"/>
                      <w:lang w:val="en-US" w:eastAsia="zh-CN"/>
                      <w14:textFill>
                        <w14:solidFill>
                          <w14:schemeClr w14:val="tx1"/>
                        </w14:solidFill>
                      </w14:textFill>
                    </w:rPr>
                    <w:t>3</w:t>
                  </w:r>
                </w:p>
              </w:tc>
              <w:tc>
                <w:tcPr>
                  <w:tcW w:w="509" w:type="pct"/>
                  <w:tcBorders>
                    <w:tl2br w:val="nil"/>
                    <w:tr2bl w:val="nil"/>
                  </w:tcBorders>
                  <w:vAlign w:val="center"/>
                </w:tcPr>
                <w:p w14:paraId="6FD18B4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1座</w:t>
                  </w:r>
                </w:p>
              </w:tc>
              <w:tc>
                <w:tcPr>
                  <w:tcW w:w="685" w:type="pct"/>
                  <w:tcBorders>
                    <w:tl2br w:val="nil"/>
                    <w:tr2bl w:val="nil"/>
                  </w:tcBorders>
                  <w:vAlign w:val="center"/>
                </w:tcPr>
                <w:p w14:paraId="591EBAC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2F847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5A74E3F6">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22</w:t>
                  </w:r>
                </w:p>
              </w:tc>
              <w:tc>
                <w:tcPr>
                  <w:tcW w:w="682" w:type="pct"/>
                  <w:vMerge w:val="restart"/>
                  <w:tcBorders>
                    <w:tl2br w:val="nil"/>
                    <w:tr2bl w:val="nil"/>
                  </w:tcBorders>
                  <w:vAlign w:val="center"/>
                </w:tcPr>
                <w:p w14:paraId="576A9CB9">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烘干</w:t>
                  </w:r>
                </w:p>
              </w:tc>
              <w:tc>
                <w:tcPr>
                  <w:tcW w:w="1271" w:type="pct"/>
                  <w:tcBorders>
                    <w:tl2br w:val="nil"/>
                    <w:tr2bl w:val="nil"/>
                  </w:tcBorders>
                  <w:vAlign w:val="center"/>
                </w:tcPr>
                <w:p w14:paraId="5986E3E4">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热风炉</w:t>
                  </w:r>
                </w:p>
              </w:tc>
              <w:tc>
                <w:tcPr>
                  <w:tcW w:w="1446" w:type="pct"/>
                  <w:tcBorders>
                    <w:tl2br w:val="nil"/>
                    <w:tr2bl w:val="nil"/>
                  </w:tcBorders>
                  <w:vAlign w:val="center"/>
                </w:tcPr>
                <w:p w14:paraId="700BE51B">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09" w:type="pct"/>
                  <w:tcBorders>
                    <w:tl2br w:val="nil"/>
                    <w:tr2bl w:val="nil"/>
                  </w:tcBorders>
                  <w:vAlign w:val="center"/>
                </w:tcPr>
                <w:p w14:paraId="3E65FAD7">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1台</w:t>
                  </w:r>
                </w:p>
              </w:tc>
              <w:tc>
                <w:tcPr>
                  <w:tcW w:w="685" w:type="pct"/>
                  <w:tcBorders>
                    <w:tl2br w:val="nil"/>
                    <w:tr2bl w:val="nil"/>
                  </w:tcBorders>
                  <w:vAlign w:val="center"/>
                </w:tcPr>
                <w:p w14:paraId="5B62D14E">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间接式</w:t>
                  </w:r>
                </w:p>
              </w:tc>
            </w:tr>
            <w:tr w14:paraId="16CFA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56146592">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23</w:t>
                  </w:r>
                </w:p>
              </w:tc>
              <w:tc>
                <w:tcPr>
                  <w:tcW w:w="682" w:type="pct"/>
                  <w:vMerge w:val="continue"/>
                  <w:tcBorders>
                    <w:tl2br w:val="nil"/>
                    <w:tr2bl w:val="nil"/>
                  </w:tcBorders>
                  <w:vAlign w:val="center"/>
                </w:tcPr>
                <w:p w14:paraId="66AC5A89">
                  <w:pPr>
                    <w:jc w:val="center"/>
                    <w:rPr>
                      <w:rFonts w:hint="eastAsia" w:cs="Times New Roman"/>
                      <w:color w:val="000000" w:themeColor="text1"/>
                      <w:szCs w:val="21"/>
                      <w:lang w:val="en-US" w:eastAsia="zh-CN"/>
                      <w14:textFill>
                        <w14:solidFill>
                          <w14:schemeClr w14:val="tx1"/>
                        </w14:solidFill>
                      </w14:textFill>
                    </w:rPr>
                  </w:pPr>
                </w:p>
              </w:tc>
              <w:tc>
                <w:tcPr>
                  <w:tcW w:w="1271" w:type="pct"/>
                  <w:tcBorders>
                    <w:tl2br w:val="nil"/>
                    <w:tr2bl w:val="nil"/>
                  </w:tcBorders>
                  <w:vAlign w:val="center"/>
                </w:tcPr>
                <w:p w14:paraId="012855E3">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醇基燃料储罐</w:t>
                  </w:r>
                </w:p>
              </w:tc>
              <w:tc>
                <w:tcPr>
                  <w:tcW w:w="1446" w:type="pct"/>
                  <w:tcBorders>
                    <w:tl2br w:val="nil"/>
                    <w:tr2bl w:val="nil"/>
                  </w:tcBorders>
                  <w:vAlign w:val="center"/>
                </w:tcPr>
                <w:p w14:paraId="1474A0B3">
                  <w:pPr>
                    <w:jc w:val="center"/>
                    <w:rPr>
                      <w:rFonts w:hint="eastAsia"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有效储量4t</w:t>
                  </w:r>
                </w:p>
              </w:tc>
              <w:tc>
                <w:tcPr>
                  <w:tcW w:w="509" w:type="pct"/>
                  <w:tcBorders>
                    <w:tl2br w:val="nil"/>
                    <w:tr2bl w:val="nil"/>
                  </w:tcBorders>
                  <w:vAlign w:val="center"/>
                </w:tcPr>
                <w:p w14:paraId="0F55FB8C">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1个</w:t>
                  </w:r>
                </w:p>
              </w:tc>
              <w:tc>
                <w:tcPr>
                  <w:tcW w:w="685" w:type="pct"/>
                  <w:tcBorders>
                    <w:tl2br w:val="nil"/>
                    <w:tr2bl w:val="nil"/>
                  </w:tcBorders>
                  <w:vAlign w:val="center"/>
                </w:tcPr>
                <w:p w14:paraId="52648360">
                  <w:pPr>
                    <w:jc w:val="center"/>
                    <w:rPr>
                      <w:rFonts w:hint="eastAsia" w:cs="Times New Roman"/>
                      <w:color w:val="000000" w:themeColor="text1"/>
                      <w:szCs w:val="21"/>
                      <w:lang w:val="en-US" w:eastAsia="zh-CN"/>
                      <w14:textFill>
                        <w14:solidFill>
                          <w14:schemeClr w14:val="tx1"/>
                        </w14:solidFill>
                      </w14:textFill>
                    </w:rPr>
                  </w:pPr>
                </w:p>
              </w:tc>
            </w:tr>
            <w:tr w14:paraId="3B86B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46BE89AE">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24</w:t>
                  </w:r>
                </w:p>
              </w:tc>
              <w:tc>
                <w:tcPr>
                  <w:tcW w:w="682" w:type="pct"/>
                  <w:vMerge w:val="restart"/>
                  <w:tcBorders>
                    <w:tl2br w:val="nil"/>
                    <w:tr2bl w:val="nil"/>
                  </w:tcBorders>
                  <w:vAlign w:val="center"/>
                </w:tcPr>
                <w:p w14:paraId="33EC35BB">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扩繁</w:t>
                  </w:r>
                </w:p>
              </w:tc>
              <w:tc>
                <w:tcPr>
                  <w:tcW w:w="1271" w:type="pct"/>
                  <w:tcBorders>
                    <w:tl2br w:val="nil"/>
                    <w:tr2bl w:val="nil"/>
                  </w:tcBorders>
                  <w:vAlign w:val="center"/>
                </w:tcPr>
                <w:p w14:paraId="7C076A29">
                  <w:pPr>
                    <w:jc w:val="center"/>
                    <w:rPr>
                      <w:rFonts w:hint="eastAsia" w:ascii="Times New Roman" w:hAnsi="Times New Roman" w:eastAsia="宋体" w:cs="Times New Roman"/>
                      <w:b w:val="0"/>
                      <w:color w:val="auto"/>
                      <w:kern w:val="2"/>
                      <w:sz w:val="21"/>
                      <w:szCs w:val="21"/>
                      <w:highlight w:val="none"/>
                      <w:shd w:val="clear" w:color="auto" w:fill="auto"/>
                      <w:lang w:val="en-US" w:eastAsia="zh-CN" w:bidi="ar-SA"/>
                    </w:rPr>
                  </w:pPr>
                  <w:r>
                    <w:rPr>
                      <w:rFonts w:hint="eastAsia" w:cs="Times New Roman"/>
                      <w:color w:val="000000" w:themeColor="text1"/>
                      <w:szCs w:val="21"/>
                      <w:lang w:val="en-US" w:eastAsia="zh-CN"/>
                      <w14:textFill>
                        <w14:solidFill>
                          <w14:schemeClr w14:val="tx1"/>
                        </w14:solidFill>
                      </w14:textFill>
                    </w:rPr>
                    <w:t>扩繁罐</w:t>
                  </w:r>
                </w:p>
              </w:tc>
              <w:tc>
                <w:tcPr>
                  <w:tcW w:w="1446" w:type="pct"/>
                  <w:tcBorders>
                    <w:tl2br w:val="nil"/>
                    <w:tr2bl w:val="nil"/>
                  </w:tcBorders>
                  <w:vAlign w:val="center"/>
                </w:tcPr>
                <w:p w14:paraId="60CE7734">
                  <w:pPr>
                    <w:jc w:val="center"/>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cs="Times New Roman"/>
                      <w:b w:val="0"/>
                      <w:color w:val="auto"/>
                      <w:kern w:val="2"/>
                      <w:sz w:val="21"/>
                      <w:szCs w:val="21"/>
                      <w:highlight w:val="none"/>
                      <w:shd w:val="clear" w:color="auto" w:fill="auto"/>
                      <w:lang w:val="en-US" w:eastAsia="zh-CN" w:bidi="ar-SA"/>
                    </w:rPr>
                    <w:t>容积1m</w:t>
                  </w:r>
                  <w:r>
                    <w:rPr>
                      <w:rFonts w:hint="eastAsia" w:cs="Times New Roman"/>
                      <w:b w:val="0"/>
                      <w:color w:val="auto"/>
                      <w:kern w:val="2"/>
                      <w:sz w:val="21"/>
                      <w:szCs w:val="21"/>
                      <w:highlight w:val="none"/>
                      <w:shd w:val="clear" w:color="auto" w:fill="auto"/>
                      <w:vertAlign w:val="superscript"/>
                      <w:lang w:val="en-US" w:eastAsia="zh-CN" w:bidi="ar-SA"/>
                    </w:rPr>
                    <w:t>3</w:t>
                  </w:r>
                </w:p>
              </w:tc>
              <w:tc>
                <w:tcPr>
                  <w:tcW w:w="509" w:type="pct"/>
                  <w:vMerge w:val="restart"/>
                  <w:tcBorders>
                    <w:tl2br w:val="nil"/>
                    <w:tr2bl w:val="nil"/>
                  </w:tcBorders>
                  <w:vAlign w:val="center"/>
                </w:tcPr>
                <w:p w14:paraId="52278192">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3组</w:t>
                  </w:r>
                </w:p>
              </w:tc>
              <w:tc>
                <w:tcPr>
                  <w:tcW w:w="685" w:type="pct"/>
                  <w:tcBorders>
                    <w:tl2br w:val="nil"/>
                    <w:tr2bl w:val="nil"/>
                  </w:tcBorders>
                  <w:vAlign w:val="center"/>
                </w:tcPr>
                <w:p w14:paraId="0175D959">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电加热</w:t>
                  </w:r>
                </w:p>
              </w:tc>
            </w:tr>
            <w:tr w14:paraId="23A0D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Borders>
                    <w:tl2br w:val="nil"/>
                    <w:tr2bl w:val="nil"/>
                  </w:tcBorders>
                  <w:vAlign w:val="center"/>
                </w:tcPr>
                <w:p w14:paraId="365FCD10">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25</w:t>
                  </w:r>
                </w:p>
              </w:tc>
              <w:tc>
                <w:tcPr>
                  <w:tcW w:w="682" w:type="pct"/>
                  <w:vMerge w:val="continue"/>
                  <w:tcBorders>
                    <w:tl2br w:val="nil"/>
                    <w:tr2bl w:val="nil"/>
                  </w:tcBorders>
                  <w:vAlign w:val="center"/>
                </w:tcPr>
                <w:p w14:paraId="7120C2BE">
                  <w:pPr>
                    <w:jc w:val="center"/>
                    <w:rPr>
                      <w:rFonts w:hint="default" w:cs="Times New Roman"/>
                      <w:color w:val="000000" w:themeColor="text1"/>
                      <w:szCs w:val="21"/>
                      <w:lang w:val="en-US" w:eastAsia="zh-CN"/>
                      <w14:textFill>
                        <w14:solidFill>
                          <w14:schemeClr w14:val="tx1"/>
                        </w14:solidFill>
                      </w14:textFill>
                    </w:rPr>
                  </w:pPr>
                </w:p>
              </w:tc>
              <w:tc>
                <w:tcPr>
                  <w:tcW w:w="1271" w:type="pct"/>
                  <w:tcBorders>
                    <w:tl2br w:val="nil"/>
                    <w:tr2bl w:val="nil"/>
                  </w:tcBorders>
                  <w:vAlign w:val="center"/>
                </w:tcPr>
                <w:p w14:paraId="2A032429">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灭菌设备（紫外灯））</w:t>
                  </w:r>
                </w:p>
              </w:tc>
              <w:tc>
                <w:tcPr>
                  <w:tcW w:w="1446" w:type="pct"/>
                  <w:tcBorders>
                    <w:tl2br w:val="nil"/>
                    <w:tr2bl w:val="nil"/>
                  </w:tcBorders>
                  <w:vAlign w:val="center"/>
                </w:tcPr>
                <w:p w14:paraId="0407FE85">
                  <w:pPr>
                    <w:jc w:val="center"/>
                    <w:rPr>
                      <w:rFonts w:hint="default" w:cs="Times New Roman"/>
                      <w:b w:val="0"/>
                      <w:color w:val="auto"/>
                      <w:kern w:val="2"/>
                      <w:sz w:val="21"/>
                      <w:szCs w:val="21"/>
                      <w:highlight w:val="none"/>
                      <w:shd w:val="clear" w:color="auto" w:fill="auto"/>
                      <w:lang w:val="en-US" w:eastAsia="zh-CN" w:bidi="ar-SA"/>
                    </w:rPr>
                  </w:pPr>
                  <w:r>
                    <w:rPr>
                      <w:rFonts w:hint="eastAsia" w:cs="Times New Roman"/>
                      <w:b w:val="0"/>
                      <w:color w:val="auto"/>
                      <w:kern w:val="2"/>
                      <w:sz w:val="21"/>
                      <w:szCs w:val="21"/>
                      <w:highlight w:val="none"/>
                      <w:shd w:val="clear" w:color="auto" w:fill="auto"/>
                      <w:lang w:val="en-US" w:eastAsia="zh-CN" w:bidi="ar-SA"/>
                    </w:rPr>
                    <w:t>/</w:t>
                  </w:r>
                </w:p>
              </w:tc>
              <w:tc>
                <w:tcPr>
                  <w:tcW w:w="509" w:type="pct"/>
                  <w:vMerge w:val="continue"/>
                  <w:tcBorders>
                    <w:tl2br w:val="nil"/>
                    <w:tr2bl w:val="nil"/>
                  </w:tcBorders>
                  <w:vAlign w:val="center"/>
                </w:tcPr>
                <w:p w14:paraId="2A4FA52F">
                  <w:pPr>
                    <w:jc w:val="center"/>
                    <w:rPr>
                      <w:rFonts w:hint="eastAsia" w:cs="Times New Roman"/>
                      <w:color w:val="000000" w:themeColor="text1"/>
                      <w:szCs w:val="21"/>
                      <w:lang w:val="en-US" w:eastAsia="zh-CN"/>
                      <w14:textFill>
                        <w14:solidFill>
                          <w14:schemeClr w14:val="tx1"/>
                        </w14:solidFill>
                      </w14:textFill>
                    </w:rPr>
                  </w:pPr>
                </w:p>
              </w:tc>
              <w:tc>
                <w:tcPr>
                  <w:tcW w:w="685" w:type="pct"/>
                  <w:tcBorders>
                    <w:tl2br w:val="nil"/>
                    <w:tr2bl w:val="nil"/>
                  </w:tcBorders>
                  <w:vAlign w:val="center"/>
                </w:tcPr>
                <w:p w14:paraId="4DA77F30">
                  <w:pPr>
                    <w:jc w:val="center"/>
                    <w:rPr>
                      <w:rFonts w:hint="eastAsia" w:cs="Times New Roman"/>
                      <w:color w:val="000000" w:themeColor="text1"/>
                      <w:szCs w:val="21"/>
                      <w:lang w:val="en-US" w:eastAsia="zh-CN"/>
                      <w14:textFill>
                        <w14:solidFill>
                          <w14:schemeClr w14:val="tx1"/>
                        </w14:solidFill>
                      </w14:textFill>
                    </w:rPr>
                  </w:pPr>
                </w:p>
              </w:tc>
            </w:tr>
          </w:tbl>
          <w:p w14:paraId="1732F6A6">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、原辅材料</w:t>
            </w:r>
          </w:p>
          <w:p w14:paraId="040312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主要原辅材料及其消耗量具体用量见表2-</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p>
          <w:p w14:paraId="61027DA3">
            <w:pPr>
              <w:keepNext w:val="0"/>
              <w:keepLines w:val="0"/>
              <w:pageBreakBefore w:val="0"/>
              <w:kinsoku/>
              <w:wordWrap/>
              <w:overflowPunct/>
              <w:topLinePunct w:val="0"/>
              <w:autoSpaceDE/>
              <w:autoSpaceDN/>
              <w:bidi w:val="0"/>
              <w:spacing w:line="360" w:lineRule="auto"/>
              <w:ind w:firstLine="422" w:firstLineChars="20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 xml:space="preserve">  原辅材料总消耗量</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505"/>
              <w:gridCol w:w="866"/>
              <w:gridCol w:w="883"/>
              <w:gridCol w:w="650"/>
              <w:gridCol w:w="1104"/>
              <w:gridCol w:w="2684"/>
            </w:tblGrid>
            <w:tr w14:paraId="23847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3037ED45">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类别</w:t>
                  </w:r>
                </w:p>
              </w:tc>
              <w:tc>
                <w:tcPr>
                  <w:tcW w:w="928" w:type="pct"/>
                  <w:tcBorders>
                    <w:tl2br w:val="nil"/>
                    <w:tr2bl w:val="nil"/>
                  </w:tcBorders>
                  <w:vAlign w:val="center"/>
                </w:tcPr>
                <w:p w14:paraId="1D082984">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名称</w:t>
                  </w:r>
                </w:p>
              </w:tc>
              <w:tc>
                <w:tcPr>
                  <w:tcW w:w="534" w:type="pct"/>
                  <w:tcBorders>
                    <w:tl2br w:val="nil"/>
                    <w:tr2bl w:val="nil"/>
                  </w:tcBorders>
                  <w:vAlign w:val="center"/>
                </w:tcPr>
                <w:p w14:paraId="207FF976">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年用量</w:t>
                  </w:r>
                </w:p>
                <w:p w14:paraId="0E6B85F6">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t/a</w:t>
                  </w:r>
                </w:p>
              </w:tc>
              <w:tc>
                <w:tcPr>
                  <w:tcW w:w="544" w:type="pct"/>
                  <w:tcBorders>
                    <w:tl2br w:val="nil"/>
                    <w:tr2bl w:val="nil"/>
                  </w:tcBorders>
                  <w:vAlign w:val="center"/>
                </w:tcPr>
                <w:p w14:paraId="6A604404">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最大储存量t</w:t>
                  </w:r>
                </w:p>
              </w:tc>
              <w:tc>
                <w:tcPr>
                  <w:tcW w:w="401" w:type="pct"/>
                  <w:tcBorders>
                    <w:tl2br w:val="nil"/>
                    <w:tr2bl w:val="nil"/>
                  </w:tcBorders>
                  <w:vAlign w:val="center"/>
                </w:tcPr>
                <w:p w14:paraId="68EB286F">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来源</w:t>
                  </w:r>
                </w:p>
              </w:tc>
              <w:tc>
                <w:tcPr>
                  <w:tcW w:w="681" w:type="pct"/>
                  <w:tcBorders>
                    <w:tl2br w:val="nil"/>
                    <w:tr2bl w:val="nil"/>
                  </w:tcBorders>
                  <w:vAlign w:val="center"/>
                </w:tcPr>
                <w:p w14:paraId="10D9508F">
                  <w:pPr>
                    <w:jc w:val="center"/>
                    <w:rPr>
                      <w:rFonts w:hint="default" w:ascii="Times New Roman" w:hAnsi="Times New Roman" w:eastAsia="宋体" w:cs="Times New Roman"/>
                      <w:b/>
                      <w:bCs/>
                      <w:color w:val="000000" w:themeColor="text1"/>
                      <w:kern w:val="0"/>
                      <w:szCs w:val="21"/>
                      <w:lang w:val="en-US" w:eastAsia="zh-CN"/>
                      <w14:textFill>
                        <w14:solidFill>
                          <w14:schemeClr w14:val="tx1"/>
                        </w14:solidFill>
                      </w14:textFill>
                    </w:rPr>
                  </w:pPr>
                  <w:r>
                    <w:rPr>
                      <w:rFonts w:hint="eastAsia" w:cs="Times New Roman"/>
                      <w:b/>
                      <w:bCs/>
                      <w:color w:val="000000" w:themeColor="text1"/>
                      <w:kern w:val="0"/>
                      <w:szCs w:val="21"/>
                      <w:lang w:val="en-US" w:eastAsia="zh-CN"/>
                      <w14:textFill>
                        <w14:solidFill>
                          <w14:schemeClr w14:val="tx1"/>
                        </w14:solidFill>
                      </w14:textFill>
                    </w:rPr>
                    <w:t>储存</w:t>
                  </w:r>
                  <w:r>
                    <w:rPr>
                      <w:rFonts w:hint="default" w:ascii="Times New Roman" w:hAnsi="Times New Roman" w:cs="Times New Roman"/>
                      <w:b/>
                      <w:bCs/>
                      <w:color w:val="000000" w:themeColor="text1"/>
                      <w:kern w:val="0"/>
                      <w:szCs w:val="21"/>
                      <w:lang w:val="en-US" w:eastAsia="zh-CN"/>
                      <w14:textFill>
                        <w14:solidFill>
                          <w14:schemeClr w14:val="tx1"/>
                        </w14:solidFill>
                      </w14:textFill>
                    </w:rPr>
                    <w:t>方式</w:t>
                  </w:r>
                </w:p>
              </w:tc>
              <w:tc>
                <w:tcPr>
                  <w:tcW w:w="1656" w:type="pct"/>
                  <w:tcBorders>
                    <w:tl2br w:val="nil"/>
                    <w:tr2bl w:val="nil"/>
                  </w:tcBorders>
                  <w:vAlign w:val="center"/>
                </w:tcPr>
                <w:p w14:paraId="309FD470">
                  <w:pPr>
                    <w:jc w:val="center"/>
                    <w:rPr>
                      <w:rFonts w:hint="default" w:ascii="Times New Roman" w:hAnsi="Times New Roman" w:cs="Times New Roman"/>
                      <w:b/>
                      <w:bCs/>
                      <w:color w:val="000000" w:themeColor="text1"/>
                      <w:kern w:val="0"/>
                      <w:szCs w:val="21"/>
                      <w:lang w:val="en-US" w:eastAsia="zh-CN"/>
                      <w14:textFill>
                        <w14:solidFill>
                          <w14:schemeClr w14:val="tx1"/>
                        </w14:solidFill>
                      </w14:textFill>
                    </w:rPr>
                  </w:pPr>
                  <w:r>
                    <w:rPr>
                      <w:rFonts w:hint="default" w:ascii="Times New Roman" w:hAnsi="Times New Roman" w:cs="Times New Roman"/>
                      <w:b/>
                      <w:bCs/>
                      <w:color w:val="000000" w:themeColor="text1"/>
                      <w:kern w:val="0"/>
                      <w:szCs w:val="21"/>
                      <w:lang w:val="en-US" w:eastAsia="zh-CN"/>
                      <w14:textFill>
                        <w14:solidFill>
                          <w14:schemeClr w14:val="tx1"/>
                        </w14:solidFill>
                      </w14:textFill>
                    </w:rPr>
                    <w:t>备注</w:t>
                  </w:r>
                </w:p>
              </w:tc>
            </w:tr>
            <w:tr w14:paraId="67F76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1FACEDC9">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928" w:type="pct"/>
                  <w:tcBorders>
                    <w:tl2br w:val="nil"/>
                    <w:tr2bl w:val="nil"/>
                  </w:tcBorders>
                  <w:vAlign w:val="center"/>
                </w:tcPr>
                <w:p w14:paraId="5163DD26">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畜禽粪</w:t>
                  </w:r>
                </w:p>
              </w:tc>
              <w:tc>
                <w:tcPr>
                  <w:tcW w:w="534" w:type="pct"/>
                  <w:tcBorders>
                    <w:tl2br w:val="nil"/>
                    <w:tr2bl w:val="nil"/>
                  </w:tcBorders>
                  <w:vAlign w:val="center"/>
                </w:tcPr>
                <w:p w14:paraId="09C53997">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6000</w:t>
                  </w:r>
                </w:p>
              </w:tc>
              <w:tc>
                <w:tcPr>
                  <w:tcW w:w="544" w:type="pct"/>
                  <w:tcBorders>
                    <w:tl2br w:val="nil"/>
                    <w:tr2bl w:val="nil"/>
                  </w:tcBorders>
                  <w:vAlign w:val="center"/>
                </w:tcPr>
                <w:p w14:paraId="3F50C909">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0</w:t>
                  </w:r>
                </w:p>
              </w:tc>
              <w:tc>
                <w:tcPr>
                  <w:tcW w:w="401" w:type="pct"/>
                  <w:tcBorders>
                    <w:tl2br w:val="nil"/>
                    <w:tr2bl w:val="nil"/>
                  </w:tcBorders>
                  <w:vAlign w:val="center"/>
                </w:tcPr>
                <w:p w14:paraId="0634AD97">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7AD67847">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656" w:type="pct"/>
                  <w:tcBorders>
                    <w:tl2br w:val="nil"/>
                    <w:tr2bl w:val="nil"/>
                  </w:tcBorders>
                  <w:vAlign w:val="center"/>
                </w:tcPr>
                <w:p w14:paraId="05084F1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来料含水率约为</w:t>
                  </w:r>
                  <w:r>
                    <w:rPr>
                      <w:rFonts w:hint="eastAsia" w:cs="Times New Roman"/>
                      <w:color w:val="000000" w:themeColor="text1"/>
                      <w:kern w:val="0"/>
                      <w:szCs w:val="21"/>
                      <w:lang w:val="en-US" w:eastAsia="zh-CN"/>
                      <w14:textFill>
                        <w14:solidFill>
                          <w14:schemeClr w14:val="tx1"/>
                        </w14:solidFill>
                      </w14:textFill>
                    </w:rPr>
                    <w:t>60%</w:t>
                  </w:r>
                </w:p>
              </w:tc>
            </w:tr>
            <w:tr w14:paraId="13E11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53" w:type="pct"/>
                  <w:tcBorders>
                    <w:tl2br w:val="nil"/>
                    <w:tr2bl w:val="nil"/>
                  </w:tcBorders>
                  <w:vAlign w:val="center"/>
                </w:tcPr>
                <w:p w14:paraId="1234D5F1">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w:t>
                  </w:r>
                </w:p>
              </w:tc>
              <w:tc>
                <w:tcPr>
                  <w:tcW w:w="928" w:type="pct"/>
                  <w:tcBorders>
                    <w:tl2br w:val="nil"/>
                    <w:tr2bl w:val="nil"/>
                  </w:tcBorders>
                  <w:vAlign w:val="center"/>
                </w:tcPr>
                <w:p w14:paraId="5030BB5C">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秸秆</w:t>
                  </w:r>
                </w:p>
              </w:tc>
              <w:tc>
                <w:tcPr>
                  <w:tcW w:w="534" w:type="pct"/>
                  <w:tcBorders>
                    <w:tl2br w:val="nil"/>
                    <w:tr2bl w:val="nil"/>
                  </w:tcBorders>
                  <w:vAlign w:val="center"/>
                </w:tcPr>
                <w:p w14:paraId="30DF705D">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12</w:t>
                  </w:r>
                  <w:r>
                    <w:rPr>
                      <w:rFonts w:hint="default" w:ascii="Times New Roman" w:hAnsi="Times New Roman" w:cs="Times New Roman"/>
                      <w:color w:val="000000" w:themeColor="text1"/>
                      <w:kern w:val="0"/>
                      <w:szCs w:val="21"/>
                      <w:lang w:val="en-US" w:eastAsia="zh-CN"/>
                      <w14:textFill>
                        <w14:solidFill>
                          <w14:schemeClr w14:val="tx1"/>
                        </w14:solidFill>
                      </w14:textFill>
                    </w:rPr>
                    <w:t>000</w:t>
                  </w:r>
                </w:p>
              </w:tc>
              <w:tc>
                <w:tcPr>
                  <w:tcW w:w="544" w:type="pct"/>
                  <w:tcBorders>
                    <w:tl2br w:val="nil"/>
                    <w:tr2bl w:val="nil"/>
                  </w:tcBorders>
                  <w:vAlign w:val="center"/>
                </w:tcPr>
                <w:p w14:paraId="183BB4B0">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500</w:t>
                  </w:r>
                </w:p>
              </w:tc>
              <w:tc>
                <w:tcPr>
                  <w:tcW w:w="401" w:type="pct"/>
                  <w:tcBorders>
                    <w:tl2br w:val="nil"/>
                    <w:tr2bl w:val="nil"/>
                  </w:tcBorders>
                  <w:vAlign w:val="center"/>
                </w:tcPr>
                <w:p w14:paraId="768A0157">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1E6FA701">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车间内堆存</w:t>
                  </w:r>
                </w:p>
              </w:tc>
              <w:tc>
                <w:tcPr>
                  <w:tcW w:w="1656" w:type="pct"/>
                  <w:tcBorders>
                    <w:tl2br w:val="nil"/>
                    <w:tr2bl w:val="nil"/>
                  </w:tcBorders>
                  <w:vAlign w:val="center"/>
                </w:tcPr>
                <w:p w14:paraId="777023F4">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50cm～60cm，进场后需切断处理，平均</w:t>
                  </w:r>
                  <w:r>
                    <w:rPr>
                      <w:rFonts w:hint="eastAsia" w:cs="Times New Roman"/>
                      <w:color w:val="000000" w:themeColor="text1"/>
                      <w:sz w:val="21"/>
                      <w:szCs w:val="21"/>
                      <w:lang w:val="en-US" w:eastAsia="zh-CN"/>
                      <w14:textFill>
                        <w14:solidFill>
                          <w14:schemeClr w14:val="tx1"/>
                        </w14:solidFill>
                      </w14:textFill>
                    </w:rPr>
                    <w:t>来料含水率约为</w:t>
                  </w:r>
                  <w:r>
                    <w:rPr>
                      <w:rFonts w:hint="eastAsia" w:cs="Times New Roman"/>
                      <w:color w:val="000000" w:themeColor="text1"/>
                      <w:kern w:val="0"/>
                      <w:szCs w:val="21"/>
                      <w:lang w:val="en-US" w:eastAsia="zh-CN"/>
                      <w14:textFill>
                        <w14:solidFill>
                          <w14:schemeClr w14:val="tx1"/>
                        </w14:solidFill>
                      </w14:textFill>
                    </w:rPr>
                    <w:t>40%</w:t>
                  </w:r>
                </w:p>
              </w:tc>
            </w:tr>
            <w:tr w14:paraId="2E370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53" w:type="pct"/>
                  <w:tcBorders>
                    <w:tl2br w:val="nil"/>
                    <w:tr2bl w:val="nil"/>
                  </w:tcBorders>
                  <w:vAlign w:val="center"/>
                </w:tcPr>
                <w:p w14:paraId="64FD8B70">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3</w:t>
                  </w:r>
                </w:p>
              </w:tc>
              <w:tc>
                <w:tcPr>
                  <w:tcW w:w="928" w:type="pct"/>
                  <w:tcBorders>
                    <w:tl2br w:val="nil"/>
                    <w:tr2bl w:val="nil"/>
                  </w:tcBorders>
                  <w:vAlign w:val="center"/>
                </w:tcPr>
                <w:p w14:paraId="610A5A49">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菌渣</w:t>
                  </w:r>
                </w:p>
              </w:tc>
              <w:tc>
                <w:tcPr>
                  <w:tcW w:w="534" w:type="pct"/>
                  <w:tcBorders>
                    <w:tl2br w:val="nil"/>
                    <w:tr2bl w:val="nil"/>
                  </w:tcBorders>
                  <w:vAlign w:val="center"/>
                </w:tcPr>
                <w:p w14:paraId="76316795">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12000</w:t>
                  </w:r>
                </w:p>
              </w:tc>
              <w:tc>
                <w:tcPr>
                  <w:tcW w:w="544" w:type="pct"/>
                  <w:tcBorders>
                    <w:tl2br w:val="nil"/>
                    <w:tr2bl w:val="nil"/>
                  </w:tcBorders>
                  <w:vAlign w:val="center"/>
                </w:tcPr>
                <w:p w14:paraId="1C980D51">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200</w:t>
                  </w:r>
                </w:p>
              </w:tc>
              <w:tc>
                <w:tcPr>
                  <w:tcW w:w="401" w:type="pct"/>
                  <w:tcBorders>
                    <w:tl2br w:val="nil"/>
                    <w:tr2bl w:val="nil"/>
                  </w:tcBorders>
                  <w:vAlign w:val="center"/>
                </w:tcPr>
                <w:p w14:paraId="682D7DB1">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45CFB1F0">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袋装；</w:t>
                  </w:r>
                </w:p>
              </w:tc>
              <w:tc>
                <w:tcPr>
                  <w:tcW w:w="1656" w:type="pct"/>
                  <w:tcBorders>
                    <w:tl2br w:val="nil"/>
                    <w:tr2bl w:val="nil"/>
                  </w:tcBorders>
                  <w:vAlign w:val="center"/>
                </w:tcPr>
                <w:p w14:paraId="534558BA">
                  <w:pPr>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来料含水率约为50%</w:t>
                  </w:r>
                </w:p>
              </w:tc>
            </w:tr>
            <w:tr w14:paraId="75CB6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3198570E">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4</w:t>
                  </w:r>
                </w:p>
              </w:tc>
              <w:tc>
                <w:tcPr>
                  <w:tcW w:w="928" w:type="pct"/>
                  <w:tcBorders>
                    <w:tl2br w:val="nil"/>
                    <w:tr2bl w:val="nil"/>
                  </w:tcBorders>
                  <w:vAlign w:val="center"/>
                </w:tcPr>
                <w:p w14:paraId="5FBFD292">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微</w:t>
                  </w:r>
                  <w:r>
                    <w:rPr>
                      <w:rFonts w:hint="default" w:ascii="Times New Roman" w:hAnsi="Times New Roman" w:cs="Times New Roman"/>
                      <w:color w:val="000000" w:themeColor="text1"/>
                      <w:kern w:val="0"/>
                      <w:szCs w:val="21"/>
                      <w:lang w:val="en-US" w:eastAsia="zh-CN"/>
                      <w14:textFill>
                        <w14:solidFill>
                          <w14:schemeClr w14:val="tx1"/>
                        </w14:solidFill>
                      </w14:textFill>
                    </w:rPr>
                    <w:t>生物菌剂</w:t>
                  </w:r>
                </w:p>
              </w:tc>
              <w:tc>
                <w:tcPr>
                  <w:tcW w:w="534" w:type="pct"/>
                  <w:tcBorders>
                    <w:tl2br w:val="nil"/>
                    <w:tr2bl w:val="nil"/>
                  </w:tcBorders>
                  <w:vAlign w:val="center"/>
                </w:tcPr>
                <w:p w14:paraId="117D9FC1">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110</w:t>
                  </w:r>
                </w:p>
              </w:tc>
              <w:tc>
                <w:tcPr>
                  <w:tcW w:w="544" w:type="pct"/>
                  <w:tcBorders>
                    <w:tl2br w:val="nil"/>
                    <w:tr2bl w:val="nil"/>
                  </w:tcBorders>
                  <w:vAlign w:val="center"/>
                </w:tcPr>
                <w:p w14:paraId="068FE129">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0.5</w:t>
                  </w:r>
                </w:p>
              </w:tc>
              <w:tc>
                <w:tcPr>
                  <w:tcW w:w="401" w:type="pct"/>
                  <w:tcBorders>
                    <w:tl2br w:val="nil"/>
                    <w:tr2bl w:val="nil"/>
                  </w:tcBorders>
                  <w:vAlign w:val="center"/>
                </w:tcPr>
                <w:p w14:paraId="6A095988">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4BF7F9C8">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袋装；</w:t>
                  </w:r>
                </w:p>
              </w:tc>
              <w:tc>
                <w:tcPr>
                  <w:tcW w:w="1656" w:type="pct"/>
                  <w:tcBorders>
                    <w:tl2br w:val="nil"/>
                    <w:tr2bl w:val="nil"/>
                  </w:tcBorders>
                  <w:vAlign w:val="center"/>
                </w:tcPr>
                <w:p w14:paraId="46AC61A7">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固体粉末</w:t>
                  </w:r>
                </w:p>
              </w:tc>
            </w:tr>
            <w:tr w14:paraId="14E2C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45B3FE8B">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w:t>
                  </w:r>
                </w:p>
              </w:tc>
              <w:tc>
                <w:tcPr>
                  <w:tcW w:w="928" w:type="pct"/>
                  <w:tcBorders>
                    <w:tl2br w:val="nil"/>
                    <w:tr2bl w:val="nil"/>
                  </w:tcBorders>
                  <w:vAlign w:val="center"/>
                </w:tcPr>
                <w:p w14:paraId="43DCC90A">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益生菌营养剂</w:t>
                  </w:r>
                </w:p>
              </w:tc>
              <w:tc>
                <w:tcPr>
                  <w:tcW w:w="534" w:type="pct"/>
                  <w:tcBorders>
                    <w:tl2br w:val="nil"/>
                    <w:tr2bl w:val="nil"/>
                  </w:tcBorders>
                  <w:vAlign w:val="center"/>
                </w:tcPr>
                <w:p w14:paraId="6D41965C">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110</w:t>
                  </w:r>
                </w:p>
              </w:tc>
              <w:tc>
                <w:tcPr>
                  <w:tcW w:w="544" w:type="pct"/>
                  <w:tcBorders>
                    <w:tl2br w:val="nil"/>
                    <w:tr2bl w:val="nil"/>
                  </w:tcBorders>
                  <w:vAlign w:val="center"/>
                </w:tcPr>
                <w:p w14:paraId="2EDE27CD">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0.025</w:t>
                  </w:r>
                </w:p>
              </w:tc>
              <w:tc>
                <w:tcPr>
                  <w:tcW w:w="401" w:type="pct"/>
                  <w:tcBorders>
                    <w:tl2br w:val="nil"/>
                    <w:tr2bl w:val="nil"/>
                  </w:tcBorders>
                  <w:vAlign w:val="center"/>
                </w:tcPr>
                <w:p w14:paraId="5A7AFCEC">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6F1FEB6F">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桶装；</w:t>
                  </w:r>
                </w:p>
              </w:tc>
              <w:tc>
                <w:tcPr>
                  <w:tcW w:w="1656" w:type="pct"/>
                  <w:tcBorders>
                    <w:tl2br w:val="nil"/>
                    <w:tr2bl w:val="nil"/>
                  </w:tcBorders>
                  <w:vAlign w:val="center"/>
                </w:tcPr>
                <w:p w14:paraId="21F867DD">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液体</w:t>
                  </w:r>
                </w:p>
              </w:tc>
            </w:tr>
            <w:tr w14:paraId="166C3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2EDC18DC">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6</w:t>
                  </w:r>
                </w:p>
              </w:tc>
              <w:tc>
                <w:tcPr>
                  <w:tcW w:w="928" w:type="pct"/>
                  <w:tcBorders>
                    <w:tl2br w:val="nil"/>
                    <w:tr2bl w:val="nil"/>
                  </w:tcBorders>
                  <w:vAlign w:val="center"/>
                </w:tcPr>
                <w:p w14:paraId="115B5286">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尿素</w:t>
                  </w:r>
                </w:p>
              </w:tc>
              <w:tc>
                <w:tcPr>
                  <w:tcW w:w="534" w:type="pct"/>
                  <w:tcBorders>
                    <w:tl2br w:val="nil"/>
                    <w:tr2bl w:val="nil"/>
                  </w:tcBorders>
                  <w:vAlign w:val="center"/>
                </w:tcPr>
                <w:p w14:paraId="6F2828A3">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w:t>
                  </w:r>
                </w:p>
              </w:tc>
              <w:tc>
                <w:tcPr>
                  <w:tcW w:w="544" w:type="pct"/>
                  <w:tcBorders>
                    <w:tl2br w:val="nil"/>
                    <w:tr2bl w:val="nil"/>
                  </w:tcBorders>
                  <w:vAlign w:val="center"/>
                </w:tcPr>
                <w:p w14:paraId="0FE316D9">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0.5</w:t>
                  </w:r>
                </w:p>
              </w:tc>
              <w:tc>
                <w:tcPr>
                  <w:tcW w:w="401" w:type="pct"/>
                  <w:tcBorders>
                    <w:tl2br w:val="nil"/>
                    <w:tr2bl w:val="nil"/>
                  </w:tcBorders>
                  <w:vAlign w:val="center"/>
                </w:tcPr>
                <w:p w14:paraId="39822845">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39828479">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袋装</w:t>
                  </w:r>
                </w:p>
              </w:tc>
              <w:tc>
                <w:tcPr>
                  <w:tcW w:w="1656" w:type="pct"/>
                  <w:tcBorders>
                    <w:tl2br w:val="nil"/>
                    <w:tr2bl w:val="nil"/>
                  </w:tcBorders>
                  <w:vAlign w:val="center"/>
                </w:tcPr>
                <w:p w14:paraId="52EB69D1">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固态颗粒</w:t>
                  </w:r>
                </w:p>
              </w:tc>
            </w:tr>
            <w:tr w14:paraId="69F6E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43496418">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7</w:t>
                  </w:r>
                </w:p>
              </w:tc>
              <w:tc>
                <w:tcPr>
                  <w:tcW w:w="928" w:type="pct"/>
                  <w:tcBorders>
                    <w:tl2br w:val="nil"/>
                    <w:tr2bl w:val="nil"/>
                  </w:tcBorders>
                  <w:vAlign w:val="center"/>
                </w:tcPr>
                <w:p w14:paraId="440A333E">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包装袋</w:t>
                  </w:r>
                </w:p>
              </w:tc>
              <w:tc>
                <w:tcPr>
                  <w:tcW w:w="534" w:type="pct"/>
                  <w:tcBorders>
                    <w:tl2br w:val="nil"/>
                    <w:tr2bl w:val="nil"/>
                  </w:tcBorders>
                  <w:vAlign w:val="center"/>
                </w:tcPr>
                <w:p w14:paraId="3A8BBE08">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6</w:t>
                  </w:r>
                  <w:r>
                    <w:rPr>
                      <w:rFonts w:hint="default" w:ascii="Times New Roman" w:hAnsi="Times New Roman" w:cs="Times New Roman"/>
                      <w:color w:val="000000" w:themeColor="text1"/>
                      <w:kern w:val="0"/>
                      <w:szCs w:val="21"/>
                      <w:lang w:val="en-US" w:eastAsia="zh-CN"/>
                      <w14:textFill>
                        <w14:solidFill>
                          <w14:schemeClr w14:val="tx1"/>
                        </w14:solidFill>
                      </w14:textFill>
                    </w:rPr>
                    <w:t>t</w:t>
                  </w:r>
                </w:p>
              </w:tc>
              <w:tc>
                <w:tcPr>
                  <w:tcW w:w="544" w:type="pct"/>
                  <w:tcBorders>
                    <w:tl2br w:val="nil"/>
                    <w:tr2bl w:val="nil"/>
                  </w:tcBorders>
                  <w:vAlign w:val="center"/>
                </w:tcPr>
                <w:p w14:paraId="3FCC829E">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w:t>
                  </w:r>
                  <w:r>
                    <w:rPr>
                      <w:rFonts w:hint="default" w:ascii="Times New Roman" w:hAnsi="Times New Roman" w:cs="Times New Roman"/>
                      <w:color w:val="000000" w:themeColor="text1"/>
                      <w:kern w:val="0"/>
                      <w:szCs w:val="21"/>
                      <w:lang w:val="en-US" w:eastAsia="zh-CN"/>
                      <w14:textFill>
                        <w14:solidFill>
                          <w14:schemeClr w14:val="tx1"/>
                        </w14:solidFill>
                      </w14:textFill>
                    </w:rPr>
                    <w:t>t</w:t>
                  </w:r>
                </w:p>
              </w:tc>
              <w:tc>
                <w:tcPr>
                  <w:tcW w:w="401" w:type="pct"/>
                  <w:tcBorders>
                    <w:tl2br w:val="nil"/>
                    <w:tr2bl w:val="nil"/>
                  </w:tcBorders>
                  <w:vAlign w:val="center"/>
                </w:tcPr>
                <w:p w14:paraId="21BE1274">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shd w:val="clear" w:color="auto" w:fill="auto"/>
                  <w:vAlign w:val="center"/>
                </w:tcPr>
                <w:p w14:paraId="29F484AB">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袋装；50kg/袋</w:t>
                  </w:r>
                </w:p>
              </w:tc>
              <w:tc>
                <w:tcPr>
                  <w:tcW w:w="1656" w:type="pct"/>
                  <w:tcBorders>
                    <w:tl2br w:val="nil"/>
                    <w:tr2bl w:val="nil"/>
                  </w:tcBorders>
                  <w:vAlign w:val="center"/>
                </w:tcPr>
                <w:p w14:paraId="0CFBE9D9">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w:t>
                  </w:r>
                </w:p>
              </w:tc>
            </w:tr>
            <w:tr w14:paraId="767BC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l2br w:val="nil"/>
                    <w:tr2bl w:val="nil"/>
                  </w:tcBorders>
                  <w:vAlign w:val="center"/>
                </w:tcPr>
                <w:p w14:paraId="345193B7">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8</w:t>
                  </w:r>
                </w:p>
              </w:tc>
              <w:tc>
                <w:tcPr>
                  <w:tcW w:w="928" w:type="pct"/>
                  <w:tcBorders>
                    <w:tl2br w:val="nil"/>
                    <w:tr2bl w:val="nil"/>
                  </w:tcBorders>
                  <w:vAlign w:val="center"/>
                </w:tcPr>
                <w:p w14:paraId="0A3CBAED">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醇基燃料</w:t>
                  </w:r>
                </w:p>
              </w:tc>
              <w:tc>
                <w:tcPr>
                  <w:tcW w:w="534" w:type="pct"/>
                  <w:tcBorders>
                    <w:tl2br w:val="nil"/>
                    <w:tr2bl w:val="nil"/>
                  </w:tcBorders>
                  <w:vAlign w:val="center"/>
                </w:tcPr>
                <w:p w14:paraId="756C9D6A">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36</w:t>
                  </w:r>
                </w:p>
              </w:tc>
              <w:tc>
                <w:tcPr>
                  <w:tcW w:w="544" w:type="pct"/>
                  <w:tcBorders>
                    <w:tl2br w:val="nil"/>
                    <w:tr2bl w:val="nil"/>
                  </w:tcBorders>
                  <w:vAlign w:val="center"/>
                </w:tcPr>
                <w:p w14:paraId="689E9A72">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4</w:t>
                  </w:r>
                </w:p>
              </w:tc>
              <w:tc>
                <w:tcPr>
                  <w:tcW w:w="401" w:type="pct"/>
                  <w:tcBorders>
                    <w:tl2br w:val="nil"/>
                    <w:tr2bl w:val="nil"/>
                  </w:tcBorders>
                  <w:vAlign w:val="center"/>
                </w:tcPr>
                <w:p w14:paraId="52994EA2">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外购</w:t>
                  </w:r>
                </w:p>
              </w:tc>
              <w:tc>
                <w:tcPr>
                  <w:tcW w:w="681" w:type="pct"/>
                  <w:tcBorders>
                    <w:tl2br w:val="nil"/>
                    <w:tr2bl w:val="nil"/>
                  </w:tcBorders>
                  <w:vAlign w:val="center"/>
                </w:tcPr>
                <w:p w14:paraId="6D7191CF">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p>
              </w:tc>
              <w:tc>
                <w:tcPr>
                  <w:tcW w:w="1656" w:type="pct"/>
                  <w:tcBorders>
                    <w:tl2br w:val="nil"/>
                    <w:tr2bl w:val="nil"/>
                  </w:tcBorders>
                  <w:vAlign w:val="center"/>
                </w:tcPr>
                <w:p w14:paraId="0F60D036">
                  <w:pPr>
                    <w:jc w:val="both"/>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auto"/>
                      <w:sz w:val="21"/>
                      <w:szCs w:val="21"/>
                      <w:lang w:val="en-US" w:eastAsia="zh-CN"/>
                    </w:rPr>
                    <w:t>主要成分为甲醇，</w:t>
                  </w:r>
                  <w:r>
                    <w:rPr>
                      <w:rFonts w:hint="eastAsia" w:ascii="Times New Roman" w:hAnsi="Times New Roman" w:eastAsia="宋体" w:cs="Times New Roman"/>
                      <w:b w:val="0"/>
                      <w:color w:val="auto"/>
                      <w:kern w:val="2"/>
                      <w:sz w:val="21"/>
                      <w:szCs w:val="21"/>
                      <w:highlight w:val="none"/>
                      <w:shd w:val="clear" w:color="auto" w:fill="auto"/>
                      <w:lang w:val="en-US" w:eastAsia="zh-CN" w:bidi="ar-SA"/>
                    </w:rPr>
                    <w:t>地上立式固定罐，PP材质。</w:t>
                  </w:r>
                </w:p>
              </w:tc>
            </w:tr>
          </w:tbl>
          <w:p w14:paraId="0CBA3831">
            <w:pPr>
              <w:pStyle w:val="21"/>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ascii="Times New Roman" w:hAnsi="Times New Roman" w:eastAsia="宋体" w:cs="Times New Roman"/>
                <w:b/>
                <w:bCs/>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zh-CN"/>
                <w14:textFill>
                  <w14:solidFill>
                    <w14:schemeClr w14:val="tx1"/>
                  </w14:solidFill>
                </w14:textFill>
              </w:rPr>
              <w:t>原辅材料说明：</w:t>
            </w:r>
          </w:p>
          <w:p w14:paraId="66FC6F4E">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cs="Times New Roman"/>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①</w:t>
            </w:r>
            <w:r>
              <w:rPr>
                <w:rFonts w:hint="eastAsia" w:cs="Times New Roman"/>
                <w:color w:val="000000" w:themeColor="text1"/>
                <w:kern w:val="2"/>
                <w:sz w:val="24"/>
                <w:szCs w:val="24"/>
                <w:lang w:val="en-US" w:eastAsia="zh-CN" w:bidi="zh-CN"/>
                <w14:textFill>
                  <w14:solidFill>
                    <w14:schemeClr w14:val="tx1"/>
                  </w14:solidFill>
                </w14:textFill>
              </w:rPr>
              <w:t>畜禽粪：畜禽粪</w:t>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主要来</w:t>
            </w:r>
            <w:r>
              <w:rPr>
                <w:rFonts w:hint="eastAsia" w:cs="Times New Roman"/>
                <w:color w:val="000000" w:themeColor="text1"/>
                <w:kern w:val="2"/>
                <w:sz w:val="24"/>
                <w:szCs w:val="24"/>
                <w:lang w:val="en-US" w:eastAsia="zh-CN" w:bidi="zh-CN"/>
                <w14:textFill>
                  <w14:solidFill>
                    <w14:schemeClr w14:val="tx1"/>
                  </w14:solidFill>
                </w14:textFill>
              </w:rPr>
              <w:t>源阳平镇周边养牛场、养猪场，少部分来源于养鸡场，畜禽粪</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量由厂家与供应商协商好，运输进厂后直接进入发酵车间进行发酵，不在厂区贮存</w:t>
            </w:r>
            <w:r>
              <w:rPr>
                <w:rFonts w:hint="eastAsia" w:cs="Times New Roman"/>
                <w:color w:val="000000" w:themeColor="text1"/>
                <w:kern w:val="2"/>
                <w:sz w:val="24"/>
                <w:szCs w:val="24"/>
                <w:lang w:val="en-US" w:eastAsia="zh-CN" w:bidi="zh-CN"/>
                <w14:textFill>
                  <w14:solidFill>
                    <w14:schemeClr w14:val="tx1"/>
                  </w14:solidFill>
                </w14:textFill>
              </w:rPr>
              <w:t>。</w:t>
            </w:r>
          </w:p>
          <w:p w14:paraId="3EDC60A7">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②秸秆：主要成分为纤维素</w:t>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，秸秆进场后需进行切断处理，根据发酵周期每个月外购一次，进</w:t>
            </w:r>
            <w:r>
              <w:rPr>
                <w:rFonts w:hint="eastAsia" w:cs="Times New Roman"/>
                <w:color w:val="000000" w:themeColor="text1"/>
                <w:kern w:val="2"/>
                <w:sz w:val="24"/>
                <w:szCs w:val="24"/>
                <w:lang w:val="en-US" w:eastAsia="zh-CN" w:bidi="zh-CN"/>
                <w14:textFill>
                  <w14:solidFill>
                    <w14:schemeClr w14:val="tx1"/>
                  </w14:solidFill>
                </w14:textFill>
              </w:rPr>
              <w:t>场后暂存于生产车间内部，尽快进行切断处理，切断完成后皮带运至发酵车间进行混合、发酵</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w:t>
            </w:r>
          </w:p>
          <w:p w14:paraId="171C2DBD">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③菌渣</w:t>
            </w:r>
            <w:r>
              <w:rPr>
                <w:rFonts w:hint="eastAsia" w:cs="Times New Roman"/>
                <w:color w:val="000000" w:themeColor="text1"/>
                <w:kern w:val="2"/>
                <w:sz w:val="24"/>
                <w:szCs w:val="24"/>
                <w:lang w:val="en-US" w:eastAsia="zh-CN" w:bidi="zh-CN"/>
                <w14:textFill>
                  <w14:solidFill>
                    <w14:schemeClr w14:val="tx1"/>
                  </w14:solidFill>
                </w14:textFill>
              </w:rPr>
              <w:t>：主要为陈仓区周边菌菇种植户中废弃菌渣，主要成分有玉米芯、豆粕，占原料的50%，含丰富的蛋白质以及有益菌，可以生产加工有机肥，改良土壤疏松透气，纤维状，纯植物源无重金属，</w:t>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袋装，进场后暂存于发酵车间</w:t>
            </w:r>
            <w:r>
              <w:rPr>
                <w:rFonts w:hint="eastAsia" w:cs="Times New Roman"/>
                <w:color w:val="000000" w:themeColor="text1"/>
                <w:kern w:val="2"/>
                <w:sz w:val="24"/>
                <w:szCs w:val="24"/>
                <w:lang w:val="en-US" w:eastAsia="zh-CN" w:bidi="zh-CN"/>
                <w14:textFill>
                  <w14:solidFill>
                    <w14:schemeClr w14:val="tx1"/>
                  </w14:solidFill>
                </w14:textFill>
              </w:rPr>
              <w:t>。</w:t>
            </w:r>
          </w:p>
          <w:p w14:paraId="40C61BFC">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④</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生物菌剂：主要为腐熟菌</w:t>
            </w:r>
            <w:r>
              <w:rPr>
                <w:rFonts w:hint="default" w:ascii="Times New Roman" w:hAnsi="Times New Roman" w:eastAsia="宋体" w:cs="Times New Roman"/>
                <w:color w:val="auto"/>
                <w:kern w:val="2"/>
                <w:sz w:val="24"/>
                <w:szCs w:val="24"/>
                <w:lang w:val="en-US" w:eastAsia="zh-CN" w:bidi="zh-CN"/>
              </w:rPr>
              <w:t>和防病促生菌</w:t>
            </w:r>
            <w:r>
              <w:rPr>
                <w:rFonts w:hint="default" w:ascii="Times New Roman" w:hAnsi="Times New Roman" w:eastAsia="宋体" w:cs="Times New Roman"/>
                <w:b w:val="0"/>
                <w:bCs w:val="0"/>
                <w:color w:val="auto"/>
                <w:sz w:val="24"/>
                <w:szCs w:val="24"/>
                <w:lang w:val="en-US" w:eastAsia="zh-CN"/>
              </w:rPr>
              <w:t>，用以有机固体废物（包括有机垃圾、秸秆、畜禽粪便、淤泥、漕渣、饼粕、农副产品和食品加工产生的固体废物）经发酵、除臭和完全熟化后加工而成的有机肥料。</w:t>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进场后暂存于发酵车间</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。根据建设单位提供的检验报告（见附件），</w:t>
            </w:r>
            <w:r>
              <w:rPr>
                <w:rFonts w:hint="eastAsia" w:cs="Times New Roman"/>
                <w:color w:val="000000" w:themeColor="text1"/>
                <w:kern w:val="2"/>
                <w:sz w:val="24"/>
                <w:szCs w:val="24"/>
                <w:lang w:val="en-US" w:eastAsia="zh-CN" w:bidi="zh-CN"/>
                <w14:textFill>
                  <w14:solidFill>
                    <w14:schemeClr w14:val="tx1"/>
                  </w14:solidFill>
                </w14:textFill>
              </w:rPr>
              <w:t>本项目使用的主要为成分为：酿酒酵母、植物乳杆菌、沼泽红假单细胞菌。</w:t>
            </w:r>
          </w:p>
          <w:p w14:paraId="7F3CAD0B">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⑤</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益生菌营养</w:t>
            </w:r>
            <w:r>
              <w:rPr>
                <w:rFonts w:hint="eastAsia" w:cs="Times New Roman"/>
                <w:color w:val="000000" w:themeColor="text1"/>
                <w:kern w:val="2"/>
                <w:sz w:val="24"/>
                <w:szCs w:val="24"/>
                <w:lang w:val="en-US" w:eastAsia="zh-CN" w:bidi="zh-CN"/>
                <w14:textFill>
                  <w14:solidFill>
                    <w14:schemeClr w14:val="tx1"/>
                  </w14:solidFill>
                </w14:textFill>
              </w:rPr>
              <w:t>剂：营养剂是如金菌的培养基，可有效提高如金原液的微功生物含量、代谢活性及代谢功能，稳定群落结构。营养剂与如金原液混合后，可迅速激活有益菌，增强益坐菌原液的使用功效。根据建设单位提供的资料，主要为成分为：粗蛋白质3%、粗灰分8.5%、T-K</w:t>
            </w:r>
            <w:r>
              <w:rPr>
                <w:rFonts w:hint="eastAsia" w:cs="Times New Roman"/>
                <w:color w:val="000000" w:themeColor="text1"/>
                <w:kern w:val="2"/>
                <w:sz w:val="24"/>
                <w:szCs w:val="24"/>
                <w:vertAlign w:val="subscript"/>
                <w:lang w:val="en-US" w:eastAsia="zh-CN" w:bidi="zh-CN"/>
                <w14:textFill>
                  <w14:solidFill>
                    <w14:schemeClr w14:val="tx1"/>
                  </w14:solidFill>
                </w14:textFill>
              </w:rPr>
              <w:t>2</w:t>
            </w:r>
            <w:r>
              <w:rPr>
                <w:rFonts w:hint="eastAsia" w:cs="Times New Roman"/>
                <w:color w:val="000000" w:themeColor="text1"/>
                <w:kern w:val="2"/>
                <w:sz w:val="24"/>
                <w:szCs w:val="24"/>
                <w:lang w:val="en-US" w:eastAsia="zh-CN" w:bidi="zh-CN"/>
                <w14:textFill>
                  <w14:solidFill>
                    <w14:schemeClr w14:val="tx1"/>
                  </w14:solidFill>
                </w14:textFill>
              </w:rPr>
              <w:t>O3.6%、钙1.18%、镁0.56%、铁384mg/kg、锰84mg/kg、锌46.7mg/kg、铜9.1mg/kg、T-sugar/T- solids67.4mg/kg、cobalt2.2mg/kg.</w:t>
            </w:r>
          </w:p>
          <w:p w14:paraId="0245BFDF">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⑥菌渣：是指培养各种食用菌后剩下的固体废物。蘑菇原料主要由秸秆、麸皮、棉籽壳、玉米芯等组成，出菇后的蘑菇渣中含有蛋白质、氨基酸、菌体蛋白、酶等可以利用的成分以及大量的生物群落。</w:t>
            </w:r>
          </w:p>
          <w:p w14:paraId="75C23459">
            <w:pPr>
              <w:keepLines w:val="0"/>
              <w:pageBreakBefore w:val="0"/>
              <w:kinsoku/>
              <w:wordWrap/>
              <w:topLinePunct w:val="0"/>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⑦</w:t>
            </w:r>
            <w:r>
              <w:rPr>
                <w:rFonts w:hint="eastAsia" w:cs="Times New Roman"/>
                <w:color w:val="000000" w:themeColor="text1"/>
                <w:kern w:val="2"/>
                <w:sz w:val="24"/>
                <w:szCs w:val="24"/>
                <w:lang w:val="en-US" w:eastAsia="zh-CN" w:bidi="zh-CN"/>
                <w14:textFill>
                  <w14:solidFill>
                    <w14:schemeClr w14:val="tx1"/>
                  </w14:solidFill>
                </w14:textFill>
              </w:rPr>
              <w:t>尿素：又称脲、碳酰胺；外观、性状：白色晶体，无色或白色针状或棒状结晶体；分子量60.06；熔点132.7℃；沸点196.6℃；密度1.335g/cm3。无臭无味。物化性质：溶于水、醇，难溶于乙醚、氯仿。水溶性：1080g/L (20℃)，水溶液呈中性反应。</w:t>
            </w:r>
          </w:p>
          <w:p w14:paraId="3BD88EAB">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⑧醇基燃料：主要成分为甲醇，成分信息见表2-5。</w:t>
            </w:r>
          </w:p>
          <w:p w14:paraId="6467A5DF">
            <w:pPr>
              <w:adjustRightInd w:val="0"/>
              <w:snapToGrid w:val="0"/>
              <w:spacing w:line="360" w:lineRule="auto"/>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表2-5   醇基燃料成分信息表</w:t>
            </w:r>
          </w:p>
          <w:tbl>
            <w:tblPr>
              <w:tblStyle w:val="22"/>
              <w:tblW w:w="79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467"/>
              <w:gridCol w:w="1719"/>
              <w:gridCol w:w="2803"/>
              <w:gridCol w:w="1075"/>
            </w:tblGrid>
            <w:tr w14:paraId="45C48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50" w:type="pct"/>
                  <w:tcBorders>
                    <w:tl2br w:val="nil"/>
                    <w:tr2bl w:val="nil"/>
                  </w:tcBorders>
                  <w:noWrap w:val="0"/>
                  <w:vAlign w:val="center"/>
                </w:tcPr>
                <w:p w14:paraId="404FE2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924" w:type="pct"/>
                  <w:tcBorders>
                    <w:tl2br w:val="nil"/>
                    <w:tr2bl w:val="nil"/>
                  </w:tcBorders>
                  <w:noWrap w:val="0"/>
                  <w:vAlign w:val="center"/>
                </w:tcPr>
                <w:p w14:paraId="3FB062C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指标名称</w:t>
                  </w:r>
                </w:p>
              </w:tc>
              <w:tc>
                <w:tcPr>
                  <w:tcW w:w="1083" w:type="pct"/>
                  <w:tcBorders>
                    <w:tl2br w:val="nil"/>
                    <w:tr2bl w:val="nil"/>
                  </w:tcBorders>
                  <w:noWrap w:val="0"/>
                  <w:vAlign w:val="center"/>
                </w:tcPr>
                <w:p w14:paraId="57B4C6D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外购醇基燃</w:t>
                  </w:r>
                </w:p>
                <w:p w14:paraId="7ADE7A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料指标值</w:t>
                  </w:r>
                </w:p>
              </w:tc>
              <w:tc>
                <w:tcPr>
                  <w:tcW w:w="1766" w:type="pct"/>
                  <w:tcBorders>
                    <w:tl2br w:val="nil"/>
                    <w:tr2bl w:val="nil"/>
                  </w:tcBorders>
                  <w:noWrap w:val="0"/>
                  <w:vAlign w:val="center"/>
                </w:tcPr>
                <w:p w14:paraId="72E673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《醇基液体燃料》</w:t>
                  </w:r>
                </w:p>
                <w:p w14:paraId="635B50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（GB16663-1996）一级指标</w:t>
                  </w:r>
                </w:p>
              </w:tc>
              <w:tc>
                <w:tcPr>
                  <w:tcW w:w="676" w:type="pct"/>
                  <w:tcBorders>
                    <w:tl2br w:val="nil"/>
                    <w:tr2bl w:val="nil"/>
                  </w:tcBorders>
                  <w:noWrap w:val="0"/>
                  <w:vAlign w:val="center"/>
                </w:tcPr>
                <w:p w14:paraId="0F6F11B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是否符合要求</w:t>
                  </w:r>
                </w:p>
              </w:tc>
            </w:tr>
            <w:tr w14:paraId="764D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50" w:type="pct"/>
                  <w:tcBorders>
                    <w:tl2br w:val="nil"/>
                    <w:tr2bl w:val="nil"/>
                  </w:tcBorders>
                  <w:noWrap w:val="0"/>
                  <w:vAlign w:val="center"/>
                </w:tcPr>
                <w:p w14:paraId="16F891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24" w:type="pct"/>
                  <w:tcBorders>
                    <w:tl2br w:val="nil"/>
                    <w:tr2bl w:val="nil"/>
                  </w:tcBorders>
                  <w:noWrap w:val="0"/>
                  <w:vAlign w:val="center"/>
                </w:tcPr>
                <w:p w14:paraId="35B2303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sz w:val="21"/>
                      <w:szCs w:val="24"/>
                    </w:rPr>
                    <w:t>醇含量</w:t>
                  </w:r>
                </w:p>
              </w:tc>
              <w:tc>
                <w:tcPr>
                  <w:tcW w:w="1083" w:type="pct"/>
                  <w:tcBorders>
                    <w:tl2br w:val="nil"/>
                    <w:tr2bl w:val="nil"/>
                  </w:tcBorders>
                  <w:noWrap w:val="0"/>
                  <w:vAlign w:val="center"/>
                </w:tcPr>
                <w:p w14:paraId="0A00594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w:t>
                  </w:r>
                </w:p>
              </w:tc>
              <w:tc>
                <w:tcPr>
                  <w:tcW w:w="1766" w:type="pct"/>
                  <w:tcBorders>
                    <w:tl2br w:val="nil"/>
                    <w:tr2bl w:val="nil"/>
                  </w:tcBorders>
                  <w:noWrap w:val="0"/>
                  <w:vAlign w:val="center"/>
                </w:tcPr>
                <w:p w14:paraId="11471D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NewRomanPSMT" w:hAnsi="TimesNewRomanPSMT" w:eastAsia="TimesNewRomanPSMT"/>
                      <w:sz w:val="21"/>
                      <w:szCs w:val="24"/>
                    </w:rPr>
                    <w:t>≥70</w:t>
                  </w:r>
                  <w:r>
                    <w:rPr>
                      <w:rFonts w:hint="eastAsia" w:ascii="Times New Roman" w:hAnsi="Times New Roman" w:eastAsia="宋体" w:cs="Times New Roman"/>
                      <w:color w:val="auto"/>
                      <w:sz w:val="21"/>
                      <w:szCs w:val="21"/>
                      <w:lang w:val="en-US" w:eastAsia="zh-CN"/>
                    </w:rPr>
                    <w:t>%</w:t>
                  </w:r>
                </w:p>
              </w:tc>
              <w:tc>
                <w:tcPr>
                  <w:tcW w:w="676" w:type="pct"/>
                  <w:vMerge w:val="restart"/>
                  <w:tcBorders>
                    <w:tl2br w:val="nil"/>
                    <w:tr2bl w:val="nil"/>
                  </w:tcBorders>
                  <w:noWrap w:val="0"/>
                  <w:vAlign w:val="center"/>
                </w:tcPr>
                <w:p w14:paraId="3120C7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CF2F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50" w:type="pct"/>
                  <w:tcBorders>
                    <w:tl2br w:val="nil"/>
                    <w:tr2bl w:val="nil"/>
                  </w:tcBorders>
                  <w:noWrap w:val="0"/>
                  <w:vAlign w:val="center"/>
                </w:tcPr>
                <w:p w14:paraId="541B0BA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924" w:type="pct"/>
                  <w:tcBorders>
                    <w:tl2br w:val="nil"/>
                    <w:tr2bl w:val="nil"/>
                  </w:tcBorders>
                  <w:noWrap w:val="0"/>
                  <w:vAlign w:val="center"/>
                </w:tcPr>
                <w:p w14:paraId="25EB7C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密度（20℃）</w:t>
                  </w:r>
                </w:p>
              </w:tc>
              <w:tc>
                <w:tcPr>
                  <w:tcW w:w="1083" w:type="pct"/>
                  <w:tcBorders>
                    <w:tl2br w:val="nil"/>
                    <w:tr2bl w:val="nil"/>
                  </w:tcBorders>
                  <w:noWrap w:val="0"/>
                  <w:vAlign w:val="center"/>
                </w:tcPr>
                <w:p w14:paraId="08BC35C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0.815g/cm</w:t>
                  </w:r>
                  <w:r>
                    <w:rPr>
                      <w:rFonts w:hint="eastAsia" w:ascii="Times New Roman" w:hAnsi="Times New Roman" w:eastAsia="宋体" w:cs="Times New Roman"/>
                      <w:color w:val="auto"/>
                      <w:sz w:val="21"/>
                      <w:szCs w:val="21"/>
                      <w:vertAlign w:val="superscript"/>
                      <w:lang w:val="en-US" w:eastAsia="zh-CN"/>
                    </w:rPr>
                    <w:t>3</w:t>
                  </w:r>
                </w:p>
              </w:tc>
              <w:tc>
                <w:tcPr>
                  <w:tcW w:w="1766" w:type="pct"/>
                  <w:tcBorders>
                    <w:tl2br w:val="nil"/>
                    <w:tr2bl w:val="nil"/>
                  </w:tcBorders>
                  <w:noWrap w:val="0"/>
                  <w:vAlign w:val="center"/>
                </w:tcPr>
                <w:p w14:paraId="64EA0E2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NewRomanPSMT" w:hAnsi="TimesNewRomanPSMT" w:eastAsia="TimesNewRomanPSMT"/>
                      <w:sz w:val="21"/>
                      <w:szCs w:val="24"/>
                    </w:rPr>
                    <w:t>≤0.83</w:t>
                  </w:r>
                  <w:r>
                    <w:rPr>
                      <w:rFonts w:hint="eastAsia" w:ascii="Times New Roman" w:hAnsi="Times New Roman" w:eastAsia="宋体" w:cs="Times New Roman"/>
                      <w:color w:val="auto"/>
                      <w:sz w:val="21"/>
                      <w:szCs w:val="21"/>
                      <w:lang w:val="en-US" w:eastAsia="zh-CN"/>
                    </w:rPr>
                    <w:t>g/cm</w:t>
                  </w:r>
                  <w:r>
                    <w:rPr>
                      <w:rFonts w:hint="eastAsia" w:ascii="Times New Roman" w:hAnsi="Times New Roman" w:eastAsia="宋体" w:cs="Times New Roman"/>
                      <w:color w:val="auto"/>
                      <w:sz w:val="21"/>
                      <w:szCs w:val="21"/>
                      <w:vertAlign w:val="superscript"/>
                      <w:lang w:val="en-US" w:eastAsia="zh-CN"/>
                    </w:rPr>
                    <w:t>3</w:t>
                  </w:r>
                </w:p>
              </w:tc>
              <w:tc>
                <w:tcPr>
                  <w:tcW w:w="676" w:type="pct"/>
                  <w:vMerge w:val="continue"/>
                  <w:tcBorders>
                    <w:tl2br w:val="nil"/>
                    <w:tr2bl w:val="nil"/>
                  </w:tcBorders>
                  <w:noWrap w:val="0"/>
                  <w:vAlign w:val="center"/>
                </w:tcPr>
                <w:p w14:paraId="6A7C2C4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r>
            <w:tr w14:paraId="63C76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50" w:type="pct"/>
                  <w:tcBorders>
                    <w:tl2br w:val="nil"/>
                    <w:tr2bl w:val="nil"/>
                  </w:tcBorders>
                  <w:noWrap w:val="0"/>
                  <w:vAlign w:val="center"/>
                </w:tcPr>
                <w:p w14:paraId="228F03B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24" w:type="pct"/>
                  <w:tcBorders>
                    <w:tl2br w:val="nil"/>
                    <w:tr2bl w:val="nil"/>
                  </w:tcBorders>
                  <w:noWrap w:val="0"/>
                  <w:vAlign w:val="center"/>
                </w:tcPr>
                <w:p w14:paraId="0D6D49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sz w:val="21"/>
                      <w:szCs w:val="24"/>
                    </w:rPr>
                    <w:t>机械杂质</w:t>
                  </w:r>
                </w:p>
              </w:tc>
              <w:tc>
                <w:tcPr>
                  <w:tcW w:w="1083" w:type="pct"/>
                  <w:tcBorders>
                    <w:tl2br w:val="nil"/>
                    <w:tr2bl w:val="nil"/>
                  </w:tcBorders>
                  <w:noWrap w:val="0"/>
                  <w:vAlign w:val="center"/>
                </w:tcPr>
                <w:p w14:paraId="570DA0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c>
                <w:tcPr>
                  <w:tcW w:w="1766" w:type="pct"/>
                  <w:tcBorders>
                    <w:tl2br w:val="nil"/>
                    <w:tr2bl w:val="nil"/>
                  </w:tcBorders>
                  <w:noWrap w:val="0"/>
                  <w:vAlign w:val="center"/>
                </w:tcPr>
                <w:p w14:paraId="46E796A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sz w:val="21"/>
                      <w:szCs w:val="24"/>
                    </w:rPr>
                    <w:t>＜</w:t>
                  </w:r>
                  <w:r>
                    <w:rPr>
                      <w:rFonts w:hint="eastAsia" w:ascii="TimesNewRomanPSMT" w:hAnsi="TimesNewRomanPSMT" w:eastAsia="TimesNewRomanPSMT"/>
                      <w:sz w:val="21"/>
                      <w:szCs w:val="24"/>
                    </w:rPr>
                    <w:t>0.02</w:t>
                  </w:r>
                  <w:r>
                    <w:rPr>
                      <w:rFonts w:hint="eastAsia" w:ascii="Times New Roman" w:hAnsi="Times New Roman" w:eastAsia="宋体" w:cs="Times New Roman"/>
                      <w:color w:val="auto"/>
                      <w:sz w:val="21"/>
                      <w:szCs w:val="21"/>
                      <w:lang w:val="en-US" w:eastAsia="zh-CN"/>
                    </w:rPr>
                    <w:t>%</w:t>
                  </w:r>
                </w:p>
              </w:tc>
              <w:tc>
                <w:tcPr>
                  <w:tcW w:w="676" w:type="pct"/>
                  <w:vMerge w:val="continue"/>
                  <w:tcBorders>
                    <w:tl2br w:val="nil"/>
                    <w:tr2bl w:val="nil"/>
                  </w:tcBorders>
                  <w:noWrap w:val="0"/>
                  <w:vAlign w:val="center"/>
                </w:tcPr>
                <w:p w14:paraId="034432B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r>
            <w:tr w14:paraId="1A24E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50" w:type="pct"/>
                  <w:tcBorders>
                    <w:tl2br w:val="nil"/>
                    <w:tr2bl w:val="nil"/>
                  </w:tcBorders>
                  <w:noWrap w:val="0"/>
                  <w:vAlign w:val="center"/>
                </w:tcPr>
                <w:p w14:paraId="2F44A5D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24" w:type="pct"/>
                  <w:tcBorders>
                    <w:tl2br w:val="nil"/>
                    <w:tr2bl w:val="nil"/>
                  </w:tcBorders>
                  <w:noWrap w:val="0"/>
                  <w:vAlign w:val="center"/>
                </w:tcPr>
                <w:p w14:paraId="4BBE66F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NewRomanPSMT" w:hAnsi="TimesNewRomanPSMT" w:eastAsia="TimesNewRomanPSMT"/>
                      <w:sz w:val="21"/>
                      <w:szCs w:val="24"/>
                    </w:rPr>
                    <w:t>pH</w:t>
                  </w:r>
                  <w:r>
                    <w:rPr>
                      <w:rFonts w:hint="eastAsia" w:ascii="宋体" w:hAnsi="宋体" w:eastAsia="宋体"/>
                      <w:sz w:val="21"/>
                      <w:szCs w:val="24"/>
                    </w:rPr>
                    <w:t>值</w:t>
                  </w:r>
                </w:p>
              </w:tc>
              <w:tc>
                <w:tcPr>
                  <w:tcW w:w="1083" w:type="pct"/>
                  <w:tcBorders>
                    <w:tl2br w:val="nil"/>
                    <w:tr2bl w:val="nil"/>
                  </w:tcBorders>
                  <w:noWrap w:val="0"/>
                  <w:vAlign w:val="center"/>
                </w:tcPr>
                <w:p w14:paraId="6ACFF31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w:t>
                  </w:r>
                </w:p>
              </w:tc>
              <w:tc>
                <w:tcPr>
                  <w:tcW w:w="1766" w:type="pct"/>
                  <w:tcBorders>
                    <w:tl2br w:val="nil"/>
                    <w:tr2bl w:val="nil"/>
                  </w:tcBorders>
                  <w:noWrap w:val="0"/>
                  <w:vAlign w:val="center"/>
                </w:tcPr>
                <w:p w14:paraId="7AD1D2E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NewRomanPSMT" w:hAnsi="TimesNewRomanPSMT" w:eastAsia="TimesNewRomanPSMT"/>
                      <w:sz w:val="21"/>
                      <w:szCs w:val="24"/>
                    </w:rPr>
                    <w:t>6</w:t>
                  </w:r>
                  <w:r>
                    <w:rPr>
                      <w:rFonts w:hint="eastAsia" w:ascii="宋体" w:hAnsi="宋体" w:eastAsia="宋体"/>
                      <w:sz w:val="21"/>
                      <w:szCs w:val="24"/>
                    </w:rPr>
                    <w:t>～</w:t>
                  </w:r>
                  <w:r>
                    <w:rPr>
                      <w:rFonts w:hint="eastAsia" w:ascii="TimesNewRomanPSMT" w:hAnsi="TimesNewRomanPSMT" w:eastAsia="TimesNewRomanPSMT"/>
                      <w:sz w:val="21"/>
                      <w:szCs w:val="24"/>
                    </w:rPr>
                    <w:t>8</w:t>
                  </w:r>
                </w:p>
              </w:tc>
              <w:tc>
                <w:tcPr>
                  <w:tcW w:w="676" w:type="pct"/>
                  <w:vMerge w:val="continue"/>
                  <w:tcBorders>
                    <w:tl2br w:val="nil"/>
                    <w:tr2bl w:val="nil"/>
                  </w:tcBorders>
                  <w:noWrap w:val="0"/>
                  <w:vAlign w:val="center"/>
                </w:tcPr>
                <w:p w14:paraId="492D37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r>
            <w:tr w14:paraId="17D7B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tcBorders>
                    <w:tl2br w:val="nil"/>
                    <w:tr2bl w:val="nil"/>
                  </w:tcBorders>
                  <w:noWrap w:val="0"/>
                  <w:vAlign w:val="center"/>
                </w:tcPr>
                <w:p w14:paraId="5E761D8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24" w:type="pct"/>
                  <w:tcBorders>
                    <w:tl2br w:val="nil"/>
                    <w:tr2bl w:val="nil"/>
                  </w:tcBorders>
                  <w:noWrap w:val="0"/>
                  <w:vAlign w:val="center"/>
                </w:tcPr>
                <w:p w14:paraId="127EE89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NewRomanPSMT" w:hAnsi="TimesNewRomanPSMT" w:eastAsia="TimesNewRomanPSMT"/>
                      <w:sz w:val="21"/>
                      <w:szCs w:val="24"/>
                    </w:rPr>
                  </w:pPr>
                  <w:r>
                    <w:rPr>
                      <w:rFonts w:hint="eastAsia" w:ascii="宋体" w:hAnsi="宋体" w:eastAsia="宋体"/>
                      <w:sz w:val="21"/>
                      <w:szCs w:val="24"/>
                    </w:rPr>
                    <w:t>总硫含量</w:t>
                  </w:r>
                </w:p>
              </w:tc>
              <w:tc>
                <w:tcPr>
                  <w:tcW w:w="1083" w:type="pct"/>
                  <w:tcBorders>
                    <w:tl2br w:val="nil"/>
                    <w:tr2bl w:val="nil"/>
                  </w:tcBorders>
                  <w:noWrap w:val="0"/>
                  <w:vAlign w:val="center"/>
                </w:tcPr>
                <w:p w14:paraId="3EF84D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1766" w:type="pct"/>
                  <w:tcBorders>
                    <w:tl2br w:val="nil"/>
                    <w:tr2bl w:val="nil"/>
                  </w:tcBorders>
                  <w:noWrap w:val="0"/>
                  <w:vAlign w:val="center"/>
                </w:tcPr>
                <w:p w14:paraId="58B112C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sz w:val="21"/>
                      <w:szCs w:val="24"/>
                    </w:rPr>
                    <w:t>＜</w:t>
                  </w:r>
                  <w:r>
                    <w:rPr>
                      <w:rFonts w:hint="eastAsia" w:ascii="TimesNewRomanPSMT" w:hAnsi="TimesNewRomanPSMT" w:eastAsia="TimesNewRomanPSMT"/>
                      <w:sz w:val="21"/>
                      <w:szCs w:val="24"/>
                    </w:rPr>
                    <w:t>0.01</w:t>
                  </w:r>
                  <w:r>
                    <w:rPr>
                      <w:rFonts w:hint="eastAsia" w:ascii="Times New Roman" w:hAnsi="Times New Roman" w:eastAsia="宋体" w:cs="Times New Roman"/>
                      <w:color w:val="auto"/>
                      <w:sz w:val="21"/>
                      <w:szCs w:val="21"/>
                      <w:lang w:val="en-US" w:eastAsia="zh-CN"/>
                    </w:rPr>
                    <w:t>%</w:t>
                  </w:r>
                </w:p>
              </w:tc>
              <w:tc>
                <w:tcPr>
                  <w:tcW w:w="676" w:type="pct"/>
                  <w:vMerge w:val="continue"/>
                  <w:tcBorders>
                    <w:tl2br w:val="nil"/>
                    <w:tr2bl w:val="nil"/>
                  </w:tcBorders>
                  <w:noWrap w:val="0"/>
                  <w:vAlign w:val="center"/>
                </w:tcPr>
                <w:p w14:paraId="1439854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r>
            <w:tr w14:paraId="6CE51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50" w:type="pct"/>
                  <w:tcBorders>
                    <w:tl2br w:val="nil"/>
                    <w:tr2bl w:val="nil"/>
                  </w:tcBorders>
                  <w:noWrap w:val="0"/>
                  <w:vAlign w:val="center"/>
                </w:tcPr>
                <w:p w14:paraId="5208702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924" w:type="pct"/>
                  <w:tcBorders>
                    <w:tl2br w:val="nil"/>
                    <w:tr2bl w:val="nil"/>
                  </w:tcBorders>
                  <w:noWrap w:val="0"/>
                  <w:vAlign w:val="center"/>
                </w:tcPr>
                <w:p w14:paraId="736CBB6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NewRomanPSMT" w:hAnsi="TimesNewRomanPSMT" w:eastAsia="TimesNewRomanPSMT"/>
                      <w:sz w:val="21"/>
                      <w:szCs w:val="24"/>
                    </w:rPr>
                  </w:pPr>
                  <w:r>
                    <w:rPr>
                      <w:rFonts w:hint="eastAsia" w:ascii="宋体" w:hAnsi="宋体" w:eastAsia="宋体"/>
                      <w:sz w:val="21"/>
                      <w:szCs w:val="24"/>
                    </w:rPr>
                    <w:t>低热值</w:t>
                  </w:r>
                </w:p>
              </w:tc>
              <w:tc>
                <w:tcPr>
                  <w:tcW w:w="1083" w:type="pct"/>
                  <w:tcBorders>
                    <w:tl2br w:val="nil"/>
                    <w:tr2bl w:val="nil"/>
                  </w:tcBorders>
                  <w:noWrap w:val="0"/>
                  <w:vAlign w:val="center"/>
                </w:tcPr>
                <w:p w14:paraId="1AC9F6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31360kJ/kg</w:t>
                  </w:r>
                </w:p>
              </w:tc>
              <w:tc>
                <w:tcPr>
                  <w:tcW w:w="1766" w:type="pct"/>
                  <w:tcBorders>
                    <w:tl2br w:val="nil"/>
                    <w:tr2bl w:val="nil"/>
                  </w:tcBorders>
                  <w:noWrap w:val="0"/>
                  <w:vAlign w:val="center"/>
                </w:tcPr>
                <w:p w14:paraId="590564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sz w:val="21"/>
                      <w:szCs w:val="24"/>
                    </w:rPr>
                    <w:t>＞</w:t>
                  </w:r>
                  <w:r>
                    <w:rPr>
                      <w:rFonts w:hint="eastAsia" w:ascii="TimesNewRomanPSMT" w:hAnsi="TimesNewRomanPSMT" w:eastAsia="TimesNewRomanPSMT"/>
                      <w:sz w:val="21"/>
                      <w:szCs w:val="24"/>
                    </w:rPr>
                    <w:t>21000</w:t>
                  </w:r>
                  <w:r>
                    <w:rPr>
                      <w:rFonts w:hint="eastAsia" w:ascii="Times New Roman" w:hAnsi="Times New Roman" w:eastAsia="宋体" w:cs="Times New Roman"/>
                      <w:color w:val="auto"/>
                      <w:sz w:val="21"/>
                      <w:szCs w:val="21"/>
                      <w:lang w:val="en-US" w:eastAsia="zh-CN"/>
                    </w:rPr>
                    <w:t>kJ/kg</w:t>
                  </w:r>
                </w:p>
              </w:tc>
              <w:tc>
                <w:tcPr>
                  <w:tcW w:w="676" w:type="pct"/>
                  <w:vMerge w:val="continue"/>
                  <w:tcBorders>
                    <w:tl2br w:val="nil"/>
                    <w:tr2bl w:val="nil"/>
                  </w:tcBorders>
                  <w:noWrap w:val="0"/>
                  <w:vAlign w:val="center"/>
                </w:tcPr>
                <w:p w14:paraId="3C5BF19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val="en-US" w:eastAsia="zh-CN"/>
                    </w:rPr>
                  </w:pPr>
                </w:p>
              </w:tc>
            </w:tr>
            <w:tr w14:paraId="1B212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000" w:type="pct"/>
                  <w:gridSpan w:val="5"/>
                  <w:tcBorders>
                    <w:tl2br w:val="nil"/>
                    <w:tr2bl w:val="nil"/>
                  </w:tcBorders>
                  <w:noWrap w:val="0"/>
                  <w:vAlign w:val="center"/>
                </w:tcPr>
                <w:p w14:paraId="6663FFAC">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val="en-US" w:eastAsia="zh-CN"/>
                    </w:rPr>
                  </w:pPr>
                  <w:r>
                    <w:rPr>
                      <w:rFonts w:hint="eastAsia" w:ascii="宋体" w:hAnsi="宋体" w:eastAsia="宋体" w:cs="Times New Roman"/>
                      <w:b/>
                      <w:bCs/>
                      <w:sz w:val="21"/>
                      <w:szCs w:val="24"/>
                      <w:lang w:val="en-US" w:eastAsia="zh-CN"/>
                    </w:rPr>
                    <w:t>甲醇理化性质：</w:t>
                  </w:r>
                  <w:r>
                    <w:rPr>
                      <w:rFonts w:hint="eastAsia" w:ascii="Times New Roman" w:hAnsi="Times New Roman" w:eastAsia="宋体" w:cs="Times New Roman"/>
                      <w:color w:val="auto"/>
                      <w:sz w:val="21"/>
                      <w:szCs w:val="21"/>
                      <w:lang w:val="en-US" w:eastAsia="zh-CN"/>
                    </w:rPr>
                    <w:t>化学式CH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OH、熔点-97.8°、沸点64.8°，无</w:t>
                  </w:r>
                  <w:r>
                    <w:rPr>
                      <w:rFonts w:hint="eastAsia" w:ascii="宋体" w:hAnsi="宋体" w:eastAsia="宋体" w:cs="Times New Roman"/>
                      <w:sz w:val="21"/>
                      <w:szCs w:val="24"/>
                      <w:lang w:val="en-US" w:eastAsia="zh-CN"/>
                    </w:rPr>
                    <w:t>色澄清液体，</w:t>
                  </w:r>
                  <w:r>
                    <w:rPr>
                      <w:rFonts w:hint="eastAsia" w:ascii="宋体" w:hAnsi="宋体" w:eastAsia="宋体" w:cs="Times New Roman"/>
                      <w:sz w:val="21"/>
                      <w:szCs w:val="24"/>
                    </w:rPr>
                    <w:t>易挥发、可燃且略带醇香味的有毒液体。甲醇可以和水以及乙醇、乙醚等许多有机液体无限互溶，但不能与脂肪烃类化合物互溶。甲醇蒸气和空气混合能形成爆炸性混合物，爆</w:t>
                  </w:r>
                  <w:r>
                    <w:rPr>
                      <w:rFonts w:hint="eastAsia" w:ascii="Times New Roman" w:hAnsi="Times New Roman" w:eastAsia="宋体" w:cs="Times New Roman"/>
                      <w:color w:val="auto"/>
                      <w:sz w:val="21"/>
                      <w:szCs w:val="21"/>
                      <w:lang w:val="en-US" w:eastAsia="zh-CN"/>
                    </w:rPr>
                    <w:t>炸极限为6.0%～36.5%。</w:t>
                  </w:r>
                </w:p>
              </w:tc>
            </w:tr>
          </w:tbl>
          <w:p w14:paraId="20CE7B2F">
            <w:pPr>
              <w:pStyle w:val="2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ascii="Times New Roman" w:hAnsi="Times New Roman" w:eastAsia="宋体" w:cs="Times New Roman"/>
                <w:b/>
                <w:bCs/>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zh-CN"/>
                <w14:textFill>
                  <w14:solidFill>
                    <w14:schemeClr w14:val="tx1"/>
                  </w14:solidFill>
                </w14:textFill>
              </w:rPr>
              <w:t>运输要求：</w:t>
            </w:r>
          </w:p>
          <w:p w14:paraId="3DC56956">
            <w:pPr>
              <w:pStyle w:val="2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1、应采取专门运输粪污车</w:t>
            </w:r>
            <w:r>
              <w:rPr>
                <w:rFonts w:hint="default" w:ascii="Times New Roman" w:hAnsi="Times New Roman" w:cs="Times New Roman"/>
                <w:color w:val="000000" w:themeColor="text1"/>
                <w:kern w:val="2"/>
                <w:sz w:val="24"/>
                <w:szCs w:val="24"/>
                <w:lang w:val="en-US" w:eastAsia="zh-CN" w:bidi="zh-CN"/>
                <w14:textFill>
                  <w14:solidFill>
                    <w14:schemeClr w14:val="tx1"/>
                  </w14:solidFill>
                </w14:textFill>
              </w:rPr>
              <w:t>辆</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，车</w:t>
            </w:r>
            <w:r>
              <w:rPr>
                <w:rFonts w:hint="default" w:ascii="Times New Roman" w:hAnsi="Times New Roman" w:cs="Times New Roman"/>
                <w:color w:val="000000" w:themeColor="text1"/>
                <w:kern w:val="2"/>
                <w:sz w:val="24"/>
                <w:szCs w:val="24"/>
                <w:lang w:val="en-US" w:eastAsia="zh-CN" w:bidi="zh-CN"/>
                <w14:textFill>
                  <w14:solidFill>
                    <w14:schemeClr w14:val="tx1"/>
                  </w14:solidFill>
                </w14:textFill>
              </w:rPr>
              <w:t>辆</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必须全密闭，达到防渗</w:t>
            </w:r>
            <w:r>
              <w:rPr>
                <w:rFonts w:hint="eastAsia" w:cs="Times New Roman"/>
                <w:color w:val="000000" w:themeColor="text1"/>
                <w:kern w:val="2"/>
                <w:sz w:val="24"/>
                <w:szCs w:val="24"/>
                <w:lang w:val="en-US" w:eastAsia="zh-CN" w:bidi="zh-CN"/>
                <w14:textFill>
                  <w14:solidFill>
                    <w14:schemeClr w14:val="tx1"/>
                  </w14:solidFill>
                </w14:textFill>
              </w:rPr>
              <w:t>漏</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要求。</w:t>
            </w:r>
          </w:p>
          <w:p w14:paraId="67129CF6">
            <w:pPr>
              <w:pStyle w:val="2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80" w:firstLineChars="200"/>
              <w:textAlignment w:val="auto"/>
              <w:rPr>
                <w:rFonts w:hint="default" w:ascii="Times New Roman" w:hAnsi="Times New Roman" w:cs="Times New Roman"/>
                <w:color w:val="000000" w:themeColor="text1"/>
                <w:kern w:val="2"/>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2、</w:t>
            </w:r>
            <w:r>
              <w:rPr>
                <w:rFonts w:hint="default" w:ascii="Times New Roman" w:hAnsi="Times New Roman" w:cs="Times New Roman"/>
                <w:color w:val="000000" w:themeColor="text1"/>
                <w:kern w:val="2"/>
                <w:sz w:val="24"/>
                <w:szCs w:val="24"/>
                <w:lang w:val="en-US" w:eastAsia="zh-CN" w:bidi="zh-CN"/>
                <w14:textFill>
                  <w14:solidFill>
                    <w14:schemeClr w14:val="tx1"/>
                  </w14:solidFill>
                </w14:textFill>
              </w:rPr>
              <w:t>运输时间应在晚上8点之后，应避开人群集中地区。</w:t>
            </w:r>
          </w:p>
          <w:p w14:paraId="36E3D7D4">
            <w:pPr>
              <w:pStyle w:val="2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bidi="zh-CN"/>
                <w14:textFill>
                  <w14:solidFill>
                    <w14:schemeClr w14:val="tx1"/>
                  </w14:solidFill>
                </w14:textFill>
              </w:rPr>
              <w:t>运输路线应选择人群稀少</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，尽量避开村庄、城市等人群密集地区</w:t>
            </w:r>
            <w:r>
              <w:rPr>
                <w:rFonts w:hint="default" w:ascii="Times New Roman" w:hAnsi="Times New Roman" w:cs="Times New Roman"/>
                <w:color w:val="000000" w:themeColor="text1"/>
                <w:kern w:val="2"/>
                <w:sz w:val="24"/>
                <w:szCs w:val="24"/>
                <w:lang w:val="en-US" w:eastAsia="zh-CN" w:bidi="zh-CN"/>
                <w14:textFill>
                  <w14:solidFill>
                    <w14:schemeClr w14:val="tx1"/>
                  </w14:solidFill>
                </w14:textFill>
              </w:rPr>
              <w:t>。</w:t>
            </w:r>
          </w:p>
          <w:p w14:paraId="73CA213B">
            <w:pPr>
              <w:widowControl/>
              <w:adjustRightInd w:val="0"/>
              <w:snapToGrid w:val="0"/>
              <w:spacing w:line="360" w:lineRule="auto"/>
              <w:ind w:firstLine="482" w:firstLineChars="200"/>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物料平衡：</w:t>
            </w:r>
            <w:r>
              <w:rPr>
                <w:rFonts w:hint="default" w:ascii="Times New Roman" w:hAnsi="Times New Roman" w:cs="Times New Roman"/>
                <w:color w:val="000000" w:themeColor="text1"/>
                <w:sz w:val="24"/>
                <w:szCs w:val="24"/>
                <w:lang w:val="en-US" w:eastAsia="zh-CN"/>
                <w14:textFill>
                  <w14:solidFill>
                    <w14:schemeClr w14:val="tx1"/>
                  </w14:solidFill>
                </w14:textFill>
              </w:rPr>
              <w:t>本项目物料图见下</w:t>
            </w:r>
            <w:r>
              <w:rPr>
                <w:rFonts w:hint="eastAsia" w:cs="Times New Roman"/>
                <w:color w:val="000000" w:themeColor="text1"/>
                <w:sz w:val="24"/>
                <w:szCs w:val="24"/>
                <w:lang w:val="en-US" w:eastAsia="zh-CN"/>
                <w14:textFill>
                  <w14:solidFill>
                    <w14:schemeClr w14:val="tx1"/>
                  </w14:solidFill>
                </w14:textFill>
              </w:rPr>
              <w:t>表：</w:t>
            </w:r>
          </w:p>
          <w:p w14:paraId="34003955">
            <w:pPr>
              <w:keepNext w:val="0"/>
              <w:keepLines w:val="0"/>
              <w:pageBreakBefore w:val="0"/>
              <w:kinsoku/>
              <w:wordWrap/>
              <w:overflowPunct/>
              <w:topLinePunct w:val="0"/>
              <w:autoSpaceDE/>
              <w:autoSpaceDN/>
              <w:bidi w:val="0"/>
              <w:spacing w:line="360" w:lineRule="auto"/>
              <w:ind w:firstLine="422" w:firstLineChars="20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项目生产物料平衡表</w:t>
            </w:r>
          </w:p>
          <w:tbl>
            <w:tblPr>
              <w:tblStyle w:val="23"/>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6"/>
              <w:gridCol w:w="963"/>
              <w:gridCol w:w="480"/>
              <w:gridCol w:w="3345"/>
              <w:gridCol w:w="1265"/>
            </w:tblGrid>
            <w:tr w14:paraId="320E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189" w:type="dxa"/>
                  <w:gridSpan w:val="2"/>
                  <w:vAlign w:val="center"/>
                </w:tcPr>
                <w:p w14:paraId="788021F3">
                  <w:pPr>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投入（t/a）</w:t>
                  </w:r>
                </w:p>
              </w:tc>
              <w:tc>
                <w:tcPr>
                  <w:tcW w:w="5090" w:type="dxa"/>
                  <w:gridSpan w:val="3"/>
                  <w:vAlign w:val="center"/>
                </w:tcPr>
                <w:p w14:paraId="3F6080FD">
                  <w:pPr>
                    <w:jc w:val="center"/>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产出（t/a）</w:t>
                  </w:r>
                </w:p>
              </w:tc>
            </w:tr>
            <w:tr w14:paraId="683E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226" w:type="dxa"/>
                  <w:vAlign w:val="center"/>
                </w:tcPr>
                <w:p w14:paraId="00941E3A">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畜禽粪（含水率60%）</w:t>
                  </w:r>
                </w:p>
              </w:tc>
              <w:tc>
                <w:tcPr>
                  <w:tcW w:w="963" w:type="dxa"/>
                  <w:vAlign w:val="center"/>
                </w:tcPr>
                <w:p w14:paraId="42AA8A49">
                  <w:pPr>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6000</w:t>
                  </w:r>
                </w:p>
              </w:tc>
              <w:tc>
                <w:tcPr>
                  <w:tcW w:w="480" w:type="dxa"/>
                  <w:vMerge w:val="restart"/>
                  <w:vAlign w:val="center"/>
                </w:tcPr>
                <w:p w14:paraId="10872E23">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去向</w:t>
                  </w:r>
                </w:p>
              </w:tc>
              <w:tc>
                <w:tcPr>
                  <w:tcW w:w="3345" w:type="dxa"/>
                  <w:vAlign w:val="center"/>
                </w:tcPr>
                <w:p w14:paraId="6A42EF47">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蒸发水分</w:t>
                  </w:r>
                </w:p>
              </w:tc>
              <w:tc>
                <w:tcPr>
                  <w:tcW w:w="1265" w:type="dxa"/>
                  <w:vAlign w:val="center"/>
                </w:tcPr>
                <w:p w14:paraId="52C60E8A">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8335.1</w:t>
                  </w:r>
                </w:p>
              </w:tc>
            </w:tr>
            <w:tr w14:paraId="4FB8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1479A96B">
                  <w:pPr>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秸秆</w:t>
                  </w:r>
                  <w:r>
                    <w:rPr>
                      <w:rFonts w:hint="eastAsia" w:cs="Times New Roman"/>
                      <w:color w:val="auto"/>
                      <w:kern w:val="0"/>
                      <w:szCs w:val="21"/>
                      <w:lang w:val="en-US" w:eastAsia="zh-CN"/>
                    </w:rPr>
                    <w:t>（含水率40%）</w:t>
                  </w:r>
                </w:p>
              </w:tc>
              <w:tc>
                <w:tcPr>
                  <w:tcW w:w="963" w:type="dxa"/>
                  <w:vAlign w:val="center"/>
                </w:tcPr>
                <w:p w14:paraId="59016FE4">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w:t>
                  </w:r>
                  <w:r>
                    <w:rPr>
                      <w:rFonts w:hint="default" w:ascii="Times New Roman" w:hAnsi="Times New Roman" w:cs="Times New Roman"/>
                      <w:color w:val="auto"/>
                      <w:kern w:val="0"/>
                      <w:szCs w:val="21"/>
                      <w:lang w:val="en-US" w:eastAsia="zh-CN"/>
                    </w:rPr>
                    <w:t>000</w:t>
                  </w:r>
                </w:p>
              </w:tc>
              <w:tc>
                <w:tcPr>
                  <w:tcW w:w="480" w:type="dxa"/>
                  <w:vMerge w:val="continue"/>
                  <w:vAlign w:val="center"/>
                </w:tcPr>
                <w:p w14:paraId="2C08A4FC">
                  <w:pPr>
                    <w:jc w:val="center"/>
                    <w:rPr>
                      <w:rFonts w:hint="default" w:ascii="Times New Roman" w:hAnsi="Times New Roman" w:eastAsia="宋体" w:cs="Times New Roman"/>
                      <w:color w:val="auto"/>
                      <w:kern w:val="0"/>
                      <w:szCs w:val="21"/>
                      <w:lang w:val="en-US" w:eastAsia="zh-CN"/>
                    </w:rPr>
                  </w:pPr>
                </w:p>
              </w:tc>
              <w:tc>
                <w:tcPr>
                  <w:tcW w:w="3345" w:type="dxa"/>
                  <w:vAlign w:val="center"/>
                </w:tcPr>
                <w:p w14:paraId="44703704">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臭气</w:t>
                  </w:r>
                </w:p>
              </w:tc>
              <w:tc>
                <w:tcPr>
                  <w:tcW w:w="1265" w:type="dxa"/>
                  <w:vAlign w:val="center"/>
                </w:tcPr>
                <w:p w14:paraId="431CFFEC">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1.821</w:t>
                  </w:r>
                </w:p>
              </w:tc>
            </w:tr>
            <w:tr w14:paraId="3E4B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782BD08C">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菌渣（含水率50%）</w:t>
                  </w:r>
                </w:p>
              </w:tc>
              <w:tc>
                <w:tcPr>
                  <w:tcW w:w="963" w:type="dxa"/>
                  <w:vAlign w:val="center"/>
                </w:tcPr>
                <w:p w14:paraId="625D3BBE">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12000</w:t>
                  </w:r>
                </w:p>
              </w:tc>
              <w:tc>
                <w:tcPr>
                  <w:tcW w:w="480" w:type="dxa"/>
                  <w:vMerge w:val="continue"/>
                  <w:vAlign w:val="center"/>
                </w:tcPr>
                <w:p w14:paraId="08464FEB">
                  <w:pPr>
                    <w:jc w:val="center"/>
                    <w:rPr>
                      <w:rFonts w:hint="default" w:ascii="Times New Roman" w:hAnsi="Times New Roman" w:eastAsia="宋体" w:cs="Times New Roman"/>
                      <w:color w:val="auto"/>
                      <w:kern w:val="0"/>
                      <w:szCs w:val="21"/>
                      <w:lang w:val="en-US" w:eastAsia="zh-CN"/>
                    </w:rPr>
                  </w:pPr>
                </w:p>
              </w:tc>
              <w:tc>
                <w:tcPr>
                  <w:tcW w:w="3345" w:type="dxa"/>
                  <w:vAlign w:val="center"/>
                </w:tcPr>
                <w:p w14:paraId="5D3F769C">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废包装袋</w:t>
                  </w:r>
                </w:p>
              </w:tc>
              <w:tc>
                <w:tcPr>
                  <w:tcW w:w="1265" w:type="dxa"/>
                  <w:vAlign w:val="center"/>
                </w:tcPr>
                <w:p w14:paraId="0361A69E">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53</w:t>
                  </w:r>
                </w:p>
              </w:tc>
            </w:tr>
            <w:tr w14:paraId="0AC1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495E28C4">
                  <w:pPr>
                    <w:jc w:val="center"/>
                    <w:rPr>
                      <w:rFonts w:hint="default" w:ascii="Times New Roman" w:hAnsi="Times New Roman" w:eastAsia="宋体" w:cs="Times New Roman"/>
                      <w:color w:val="auto"/>
                      <w:kern w:val="0"/>
                      <w:szCs w:val="21"/>
                      <w:lang w:val="en-US" w:eastAsia="zh-CN"/>
                    </w:rPr>
                  </w:pPr>
                  <w:r>
                    <w:rPr>
                      <w:rFonts w:hint="eastAsia" w:cs="Times New Roman"/>
                      <w:color w:val="000000" w:themeColor="text1"/>
                      <w:kern w:val="0"/>
                      <w:szCs w:val="21"/>
                      <w:lang w:val="en-US" w:eastAsia="zh-CN"/>
                      <w14:textFill>
                        <w14:solidFill>
                          <w14:schemeClr w14:val="tx1"/>
                        </w14:solidFill>
                      </w14:textFill>
                    </w:rPr>
                    <w:t>微</w:t>
                  </w:r>
                  <w:r>
                    <w:rPr>
                      <w:rFonts w:hint="default" w:ascii="Times New Roman" w:hAnsi="Times New Roman" w:cs="Times New Roman"/>
                      <w:color w:val="000000" w:themeColor="text1"/>
                      <w:kern w:val="0"/>
                      <w:szCs w:val="21"/>
                      <w:lang w:val="en-US" w:eastAsia="zh-CN"/>
                      <w14:textFill>
                        <w14:solidFill>
                          <w14:schemeClr w14:val="tx1"/>
                        </w14:solidFill>
                      </w14:textFill>
                    </w:rPr>
                    <w:t>生物菌剂</w:t>
                  </w:r>
                </w:p>
              </w:tc>
              <w:tc>
                <w:tcPr>
                  <w:tcW w:w="963" w:type="dxa"/>
                  <w:vAlign w:val="center"/>
                </w:tcPr>
                <w:p w14:paraId="01407898">
                  <w:pPr>
                    <w:jc w:val="center"/>
                    <w:rPr>
                      <w:rFonts w:hint="default" w:ascii="Times New Roman" w:hAnsi="Times New Roman" w:eastAsia="宋体" w:cs="Times New Roman"/>
                      <w:color w:val="auto"/>
                      <w:kern w:val="0"/>
                      <w:szCs w:val="21"/>
                      <w:lang w:val="en-US" w:eastAsia="zh-CN"/>
                    </w:rPr>
                  </w:pPr>
                  <w:r>
                    <w:rPr>
                      <w:rFonts w:hint="eastAsia" w:cs="Times New Roman"/>
                      <w:color w:val="000000" w:themeColor="text1"/>
                      <w:kern w:val="0"/>
                      <w:szCs w:val="21"/>
                      <w:lang w:val="en-US" w:eastAsia="zh-CN"/>
                      <w14:textFill>
                        <w14:solidFill>
                          <w14:schemeClr w14:val="tx1"/>
                        </w14:solidFill>
                      </w14:textFill>
                    </w:rPr>
                    <w:t>110</w:t>
                  </w:r>
                </w:p>
              </w:tc>
              <w:tc>
                <w:tcPr>
                  <w:tcW w:w="480" w:type="dxa"/>
                  <w:vMerge w:val="continue"/>
                  <w:vAlign w:val="center"/>
                </w:tcPr>
                <w:p w14:paraId="1C359F1D">
                  <w:pPr>
                    <w:jc w:val="center"/>
                    <w:rPr>
                      <w:rFonts w:hint="default" w:ascii="Times New Roman" w:hAnsi="Times New Roman" w:eastAsia="宋体" w:cs="Times New Roman"/>
                      <w:color w:val="auto"/>
                      <w:kern w:val="0"/>
                      <w:szCs w:val="21"/>
                      <w:lang w:val="en-US" w:eastAsia="zh-CN"/>
                    </w:rPr>
                  </w:pPr>
                </w:p>
              </w:tc>
              <w:tc>
                <w:tcPr>
                  <w:tcW w:w="3345" w:type="dxa"/>
                  <w:vAlign w:val="center"/>
                </w:tcPr>
                <w:p w14:paraId="4E66BAF8">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杂质</w:t>
                  </w:r>
                </w:p>
              </w:tc>
              <w:tc>
                <w:tcPr>
                  <w:tcW w:w="1265" w:type="dxa"/>
                  <w:vAlign w:val="center"/>
                </w:tcPr>
                <w:p w14:paraId="68BE924A">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0.11</w:t>
                  </w:r>
                </w:p>
              </w:tc>
            </w:tr>
            <w:tr w14:paraId="6015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0B4A1AB6">
                  <w:pPr>
                    <w:jc w:val="center"/>
                    <w:rPr>
                      <w:rFonts w:hint="default" w:ascii="Times New Roman" w:hAnsi="Times New Roman" w:cs="Times New Roman"/>
                      <w:color w:val="auto"/>
                      <w:kern w:val="0"/>
                      <w:szCs w:val="21"/>
                      <w:lang w:val="en-US" w:eastAsia="zh-CN"/>
                    </w:rPr>
                  </w:pPr>
                  <w:r>
                    <w:rPr>
                      <w:rFonts w:hint="eastAsia" w:cs="Times New Roman"/>
                      <w:color w:val="000000" w:themeColor="text1"/>
                      <w:kern w:val="0"/>
                      <w:szCs w:val="21"/>
                      <w:lang w:val="en-US" w:eastAsia="zh-CN"/>
                      <w14:textFill>
                        <w14:solidFill>
                          <w14:schemeClr w14:val="tx1"/>
                        </w14:solidFill>
                      </w14:textFill>
                    </w:rPr>
                    <w:t>益生菌营养液</w:t>
                  </w:r>
                </w:p>
              </w:tc>
              <w:tc>
                <w:tcPr>
                  <w:tcW w:w="963" w:type="dxa"/>
                  <w:vAlign w:val="center"/>
                </w:tcPr>
                <w:p w14:paraId="5BA2326E">
                  <w:pPr>
                    <w:jc w:val="center"/>
                    <w:rPr>
                      <w:rFonts w:hint="default" w:cs="Times New Roman"/>
                      <w:color w:val="auto"/>
                      <w:kern w:val="0"/>
                      <w:szCs w:val="21"/>
                      <w:lang w:val="en-US" w:eastAsia="zh-CN"/>
                    </w:rPr>
                  </w:pPr>
                  <w:r>
                    <w:rPr>
                      <w:rFonts w:hint="eastAsia" w:cs="Times New Roman"/>
                      <w:color w:val="000000" w:themeColor="text1"/>
                      <w:kern w:val="0"/>
                      <w:szCs w:val="21"/>
                      <w:lang w:val="en-US" w:eastAsia="zh-CN"/>
                      <w14:textFill>
                        <w14:solidFill>
                          <w14:schemeClr w14:val="tx1"/>
                        </w14:solidFill>
                      </w14:textFill>
                    </w:rPr>
                    <w:t>110</w:t>
                  </w:r>
                </w:p>
              </w:tc>
              <w:tc>
                <w:tcPr>
                  <w:tcW w:w="480" w:type="dxa"/>
                  <w:vMerge w:val="continue"/>
                  <w:vAlign w:val="center"/>
                </w:tcPr>
                <w:p w14:paraId="6BBCEB28">
                  <w:pPr>
                    <w:jc w:val="center"/>
                    <w:rPr>
                      <w:rFonts w:hint="default" w:ascii="Times New Roman" w:hAnsi="Times New Roman" w:eastAsia="宋体" w:cs="Times New Roman"/>
                      <w:color w:val="auto"/>
                      <w:kern w:val="0"/>
                      <w:szCs w:val="21"/>
                      <w:lang w:val="en-US" w:eastAsia="zh-CN"/>
                    </w:rPr>
                  </w:pPr>
                </w:p>
              </w:tc>
              <w:tc>
                <w:tcPr>
                  <w:tcW w:w="3345" w:type="dxa"/>
                  <w:vAlign w:val="center"/>
                </w:tcPr>
                <w:p w14:paraId="08CCE1C9">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渗滤液</w:t>
                  </w:r>
                </w:p>
              </w:tc>
              <w:tc>
                <w:tcPr>
                  <w:tcW w:w="1265" w:type="dxa"/>
                  <w:vAlign w:val="center"/>
                </w:tcPr>
                <w:p w14:paraId="1421A89D">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w:t>
                  </w:r>
                </w:p>
              </w:tc>
            </w:tr>
            <w:tr w14:paraId="0307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7D6F4870">
                  <w:pPr>
                    <w:jc w:val="center"/>
                    <w:rPr>
                      <w:rFonts w:hint="default" w:ascii="Times New Roman" w:hAnsi="Times New Roman" w:cs="Times New Roman"/>
                      <w:color w:val="auto"/>
                      <w:kern w:val="0"/>
                      <w:szCs w:val="21"/>
                      <w:lang w:val="en-US" w:eastAsia="zh-CN"/>
                    </w:rPr>
                  </w:pPr>
                  <w:r>
                    <w:rPr>
                      <w:rFonts w:hint="eastAsia" w:cs="Times New Roman"/>
                      <w:color w:val="000000" w:themeColor="text1"/>
                      <w:kern w:val="0"/>
                      <w:szCs w:val="21"/>
                      <w:lang w:val="en-US" w:eastAsia="zh-CN"/>
                      <w14:textFill>
                        <w14:solidFill>
                          <w14:schemeClr w14:val="tx1"/>
                        </w14:solidFill>
                      </w14:textFill>
                    </w:rPr>
                    <w:t>尿素</w:t>
                  </w:r>
                </w:p>
              </w:tc>
              <w:tc>
                <w:tcPr>
                  <w:tcW w:w="963" w:type="dxa"/>
                  <w:vAlign w:val="center"/>
                </w:tcPr>
                <w:p w14:paraId="6128EB38">
                  <w:pPr>
                    <w:jc w:val="center"/>
                    <w:rPr>
                      <w:rFonts w:hint="eastAsia" w:cs="Times New Roman"/>
                      <w:color w:val="auto"/>
                      <w:kern w:val="0"/>
                      <w:szCs w:val="21"/>
                      <w:lang w:val="en-US" w:eastAsia="zh-CN"/>
                    </w:rPr>
                  </w:pPr>
                  <w:r>
                    <w:rPr>
                      <w:rFonts w:hint="eastAsia" w:cs="Times New Roman"/>
                      <w:color w:val="000000" w:themeColor="text1"/>
                      <w:kern w:val="0"/>
                      <w:szCs w:val="21"/>
                      <w:lang w:val="en-US" w:eastAsia="zh-CN"/>
                      <w14:textFill>
                        <w14:solidFill>
                          <w14:schemeClr w14:val="tx1"/>
                        </w14:solidFill>
                      </w14:textFill>
                    </w:rPr>
                    <w:t>50</w:t>
                  </w:r>
                </w:p>
              </w:tc>
              <w:tc>
                <w:tcPr>
                  <w:tcW w:w="480" w:type="dxa"/>
                  <w:vMerge w:val="continue"/>
                  <w:vAlign w:val="center"/>
                </w:tcPr>
                <w:p w14:paraId="17F8632D">
                  <w:pPr>
                    <w:jc w:val="center"/>
                    <w:rPr>
                      <w:rFonts w:hint="default" w:ascii="Times New Roman" w:hAnsi="Times New Roman" w:eastAsia="宋体" w:cs="Times New Roman"/>
                      <w:color w:val="auto"/>
                      <w:kern w:val="0"/>
                      <w:szCs w:val="21"/>
                      <w:lang w:val="en-US" w:eastAsia="zh-CN"/>
                    </w:rPr>
                  </w:pPr>
                </w:p>
              </w:tc>
              <w:tc>
                <w:tcPr>
                  <w:tcW w:w="3345" w:type="dxa"/>
                  <w:vAlign w:val="center"/>
                </w:tcPr>
                <w:p w14:paraId="2AAB5052">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粉尘</w:t>
                  </w:r>
                </w:p>
              </w:tc>
              <w:tc>
                <w:tcPr>
                  <w:tcW w:w="1265" w:type="dxa"/>
                  <w:vAlign w:val="center"/>
                </w:tcPr>
                <w:p w14:paraId="099281B5">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8.14</w:t>
                  </w:r>
                </w:p>
              </w:tc>
            </w:tr>
            <w:tr w14:paraId="5F98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7741EB68">
                  <w:pPr>
                    <w:jc w:val="center"/>
                    <w:rPr>
                      <w:rFonts w:hint="default" w:ascii="Times New Roman" w:hAnsi="Times New Roman" w:cs="Times New Roman"/>
                      <w:color w:val="auto"/>
                      <w:kern w:val="0"/>
                      <w:szCs w:val="21"/>
                      <w:lang w:val="en-US" w:eastAsia="zh-CN"/>
                    </w:rPr>
                  </w:pPr>
                </w:p>
              </w:tc>
              <w:tc>
                <w:tcPr>
                  <w:tcW w:w="963" w:type="dxa"/>
                  <w:vAlign w:val="center"/>
                </w:tcPr>
                <w:p w14:paraId="1269DA64">
                  <w:pPr>
                    <w:jc w:val="center"/>
                    <w:rPr>
                      <w:rFonts w:hint="eastAsia" w:cs="Times New Roman"/>
                      <w:color w:val="auto"/>
                      <w:kern w:val="0"/>
                      <w:szCs w:val="21"/>
                      <w:lang w:val="en-US" w:eastAsia="zh-CN"/>
                    </w:rPr>
                  </w:pPr>
                </w:p>
              </w:tc>
              <w:tc>
                <w:tcPr>
                  <w:tcW w:w="480" w:type="dxa"/>
                  <w:vMerge w:val="continue"/>
                  <w:vAlign w:val="center"/>
                </w:tcPr>
                <w:p w14:paraId="098634D1">
                  <w:pPr>
                    <w:jc w:val="center"/>
                    <w:rPr>
                      <w:rFonts w:hint="default" w:ascii="Times New Roman" w:hAnsi="Times New Roman" w:eastAsia="宋体" w:cs="Times New Roman"/>
                      <w:color w:val="auto"/>
                      <w:kern w:val="0"/>
                      <w:szCs w:val="21"/>
                      <w:lang w:val="en-US" w:eastAsia="zh-CN"/>
                    </w:rPr>
                  </w:pPr>
                </w:p>
              </w:tc>
              <w:tc>
                <w:tcPr>
                  <w:tcW w:w="3345" w:type="dxa"/>
                  <w:vAlign w:val="center"/>
                </w:tcPr>
                <w:p w14:paraId="04D52ED5">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产品</w:t>
                  </w:r>
                  <w:r>
                    <w:rPr>
                      <w:rFonts w:hint="eastAsia" w:cs="Times New Roman"/>
                      <w:color w:val="auto"/>
                      <w:kern w:val="0"/>
                      <w:szCs w:val="21"/>
                      <w:lang w:val="en-US" w:eastAsia="zh-CN"/>
                    </w:rPr>
                    <w:t>生物有机肥（含水率20%）</w:t>
                  </w:r>
                </w:p>
              </w:tc>
              <w:tc>
                <w:tcPr>
                  <w:tcW w:w="1265" w:type="dxa"/>
                  <w:vAlign w:val="center"/>
                </w:tcPr>
                <w:p w14:paraId="4FBEF79E">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21920</w:t>
                  </w:r>
                </w:p>
              </w:tc>
            </w:tr>
            <w:tr w14:paraId="25BC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26" w:type="dxa"/>
                  <w:vAlign w:val="center"/>
                </w:tcPr>
                <w:p w14:paraId="45D3576B">
                  <w:pPr>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合计</w:t>
                  </w:r>
                </w:p>
              </w:tc>
              <w:tc>
                <w:tcPr>
                  <w:tcW w:w="963" w:type="dxa"/>
                  <w:vAlign w:val="center"/>
                </w:tcPr>
                <w:p w14:paraId="54CF9609">
                  <w:pPr>
                    <w:jc w:val="center"/>
                    <w:rPr>
                      <w:rFonts w:hint="default" w:cs="Times New Roman"/>
                      <w:color w:val="auto"/>
                      <w:kern w:val="0"/>
                      <w:szCs w:val="21"/>
                      <w:lang w:val="en-US" w:eastAsia="zh-CN"/>
                    </w:rPr>
                  </w:pPr>
                  <w:r>
                    <w:rPr>
                      <w:rFonts w:hint="eastAsia" w:cs="Times New Roman"/>
                      <w:color w:val="auto"/>
                      <w:kern w:val="0"/>
                      <w:szCs w:val="21"/>
                      <w:lang w:val="en-US" w:eastAsia="zh-CN"/>
                    </w:rPr>
                    <w:t>30270</w:t>
                  </w:r>
                </w:p>
              </w:tc>
              <w:tc>
                <w:tcPr>
                  <w:tcW w:w="3825" w:type="dxa"/>
                  <w:gridSpan w:val="2"/>
                  <w:vAlign w:val="center"/>
                </w:tcPr>
                <w:p w14:paraId="06404CA5">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合计</w:t>
                  </w:r>
                </w:p>
              </w:tc>
              <w:tc>
                <w:tcPr>
                  <w:tcW w:w="1265" w:type="dxa"/>
                  <w:vAlign w:val="center"/>
                </w:tcPr>
                <w:p w14:paraId="4D880B3C">
                  <w:pPr>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30165</w:t>
                  </w:r>
                </w:p>
              </w:tc>
            </w:tr>
          </w:tbl>
          <w:p w14:paraId="0D12D3A9">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、水平衡分析</w:t>
            </w:r>
          </w:p>
          <w:p w14:paraId="25B395A7">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（1）供水</w:t>
            </w:r>
          </w:p>
          <w:p w14:paraId="46F40070">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本项目供水由</w:t>
            </w:r>
            <w:r>
              <w:rPr>
                <w:rFonts w:hint="eastAsia" w:cs="Times New Roman"/>
                <w:color w:val="000000" w:themeColor="text1"/>
                <w:sz w:val="24"/>
                <w:szCs w:val="24"/>
                <w:lang w:val="en-US" w:eastAsia="zh-CN"/>
                <w14:textFill>
                  <w14:solidFill>
                    <w14:schemeClr w14:val="tx1"/>
                  </w14:solidFill>
                </w14:textFill>
              </w:rPr>
              <w:t>东风村</w:t>
            </w:r>
            <w:r>
              <w:rPr>
                <w:rFonts w:hint="default" w:ascii="Times New Roman" w:hAnsi="Times New Roman" w:eastAsia="宋体" w:cs="Times New Roman"/>
                <w:color w:val="000000" w:themeColor="text1"/>
                <w:sz w:val="24"/>
                <w:szCs w:val="24"/>
                <w14:textFill>
                  <w14:solidFill>
                    <w14:schemeClr w14:val="tx1"/>
                  </w14:solidFill>
                </w14:textFill>
              </w:rPr>
              <w:t>自来水管网提供，本项目</w:t>
            </w:r>
            <w:r>
              <w:rPr>
                <w:rFonts w:hint="default" w:ascii="Times New Roman" w:hAnsi="Times New Roman" w:cs="Times New Roman"/>
                <w:color w:val="000000" w:themeColor="text1"/>
                <w:sz w:val="24"/>
                <w:szCs w:val="24"/>
                <w:lang w:val="en-US" w:eastAsia="zh-CN"/>
                <w14:textFill>
                  <w14:solidFill>
                    <w14:schemeClr w14:val="tx1"/>
                  </w14:solidFill>
                </w14:textFill>
              </w:rPr>
              <w:t>用水主要为员工办公用水</w:t>
            </w:r>
            <w:r>
              <w:rPr>
                <w:rFonts w:hint="eastAsia" w:cs="Times New Roman"/>
                <w:color w:val="000000" w:themeColor="text1"/>
                <w:sz w:val="24"/>
                <w:szCs w:val="24"/>
                <w:lang w:val="en-US" w:eastAsia="zh-CN"/>
                <w14:textFill>
                  <w14:solidFill>
                    <w14:schemeClr w14:val="tx1"/>
                  </w14:solidFill>
                </w14:textFill>
              </w:rPr>
              <w:t>、扩繁用水、罐体清洗</w:t>
            </w:r>
            <w:r>
              <w:rPr>
                <w:rFonts w:hint="default" w:ascii="Times New Roman" w:hAnsi="Times New Roman" w:cs="Times New Roman"/>
                <w:color w:val="000000" w:themeColor="text1"/>
                <w:sz w:val="24"/>
                <w:szCs w:val="24"/>
                <w:lang w:val="en-US" w:eastAsia="zh-CN"/>
                <w14:textFill>
                  <w14:solidFill>
                    <w14:schemeClr w14:val="tx1"/>
                  </w14:solidFill>
                </w14:textFill>
              </w:rPr>
              <w:t>用水</w:t>
            </w:r>
            <w:r>
              <w:rPr>
                <w:rFonts w:hint="default" w:ascii="Times New Roman" w:hAnsi="Times New Roman" w:eastAsia="宋体" w:cs="Times New Roman"/>
                <w:color w:val="000000" w:themeColor="text1"/>
                <w:sz w:val="24"/>
                <w:szCs w:val="24"/>
                <w14:textFill>
                  <w14:solidFill>
                    <w14:schemeClr w14:val="tx1"/>
                  </w14:solidFill>
                </w14:textFill>
              </w:rPr>
              <w:t>。</w:t>
            </w:r>
          </w:p>
          <w:p w14:paraId="538F7188">
            <w:pPr>
              <w:numPr>
                <w:ilvl w:val="0"/>
                <w:numId w:val="0"/>
              </w:numPr>
              <w:spacing w:line="360" w:lineRule="auto"/>
              <w:ind w:left="420" w:left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办公</w:t>
            </w:r>
            <w:r>
              <w:rPr>
                <w:rFonts w:hint="default" w:ascii="Times New Roman" w:hAnsi="Times New Roman" w:eastAsia="宋体" w:cs="Times New Roman"/>
                <w:color w:val="000000" w:themeColor="text1"/>
                <w:sz w:val="24"/>
                <w:szCs w:val="24"/>
                <w14:textFill>
                  <w14:solidFill>
                    <w14:schemeClr w14:val="tx1"/>
                  </w14:solidFill>
                </w14:textFill>
              </w:rPr>
              <w:t>用水</w:t>
            </w:r>
          </w:p>
          <w:p w14:paraId="2C2147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本项目运营期劳动定员</w:t>
            </w:r>
            <w:r>
              <w:rPr>
                <w:rFonts w:hint="default"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人，厂内不提供食宿</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根据《行业用水定额》</w:t>
            </w:r>
            <w:r>
              <w:rPr>
                <w:rFonts w:hint="eastAsia" w:cs="Times New Roman"/>
                <w:color w:val="000000" w:themeColor="text1"/>
                <w:sz w:val="24"/>
                <w:szCs w:val="24"/>
                <w:lang w:eastAsia="zh-CN"/>
                <w14:textFill>
                  <w14:solidFill>
                    <w14:schemeClr w14:val="tx1"/>
                  </w14:solidFill>
                </w14:textFill>
              </w:rPr>
              <w:t>DB</w:t>
            </w:r>
            <w:r>
              <w:rPr>
                <w:rFonts w:hint="eastAsia" w:cs="Times New Roman"/>
                <w:color w:val="000000" w:themeColor="text1"/>
                <w:sz w:val="24"/>
                <w:szCs w:val="24"/>
                <w:lang w:val="en-US" w:eastAsia="zh-CN"/>
                <w14:textFill>
                  <w14:solidFill>
                    <w14:schemeClr w14:val="tx1"/>
                  </w14:solidFill>
                </w14:textFill>
              </w:rPr>
              <w:t>61</w:t>
            </w:r>
            <w:r>
              <w:rPr>
                <w:rFonts w:hint="eastAsia" w:cs="Times New Roman"/>
                <w:color w:val="000000" w:themeColor="text1"/>
                <w:sz w:val="24"/>
                <w:szCs w:val="24"/>
                <w:lang w:eastAsia="zh-CN"/>
                <w14:textFill>
                  <w14:solidFill>
                    <w14:schemeClr w14:val="tx1"/>
                  </w14:solidFill>
                </w14:textFill>
              </w:rPr>
              <w:t>/T</w:t>
            </w:r>
            <w:r>
              <w:rPr>
                <w:rFonts w:hint="eastAsia" w:cs="Times New Roman"/>
                <w:color w:val="000000" w:themeColor="text1"/>
                <w:sz w:val="24"/>
                <w:szCs w:val="24"/>
                <w:lang w:val="en-US" w:eastAsia="zh-CN"/>
                <w14:textFill>
                  <w14:solidFill>
                    <w14:schemeClr w14:val="tx1"/>
                  </w14:solidFill>
                </w14:textFill>
              </w:rPr>
              <w:t>943</w:t>
            </w:r>
            <w:r>
              <w:rPr>
                <w:rFonts w:hint="eastAsia" w:cs="Times New Roman"/>
                <w:color w:val="000000" w:themeColor="text1"/>
                <w:sz w:val="24"/>
                <w:szCs w:val="24"/>
                <w:lang w:eastAsia="zh-CN"/>
                <w14:textFill>
                  <w14:solidFill>
                    <w14:schemeClr w14:val="tx1"/>
                  </w14:solidFill>
                </w14:textFill>
              </w:rPr>
              <w:t>-2020</w:t>
            </w:r>
            <w:r>
              <w:rPr>
                <w:rFonts w:hint="default" w:ascii="Times New Roman" w:hAnsi="Times New Roman" w:eastAsia="宋体" w:cs="Times New Roman"/>
                <w:color w:val="000000" w:themeColor="text1"/>
                <w:sz w:val="24"/>
                <w:szCs w:val="24"/>
                <w14:textFill>
                  <w14:solidFill>
                    <w14:schemeClr w14:val="tx1"/>
                  </w14:solidFill>
                </w14:textFill>
              </w:rPr>
              <w:t>）要求并结合本项目特点，本项目营运期员工用水量按</w:t>
            </w:r>
            <w:r>
              <w:rPr>
                <w:rFonts w:hint="default" w:ascii="Times New Roman" w:hAnsi="Times New Roman"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L/人•d计，项目年运行</w:t>
            </w:r>
            <w:r>
              <w:rPr>
                <w:rFonts w:hint="default" w:ascii="Times New Roman" w:hAnsi="Times New Roman" w:cs="Times New Roman"/>
                <w:color w:val="000000" w:themeColor="text1"/>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14:textFill>
                  <w14:solidFill>
                    <w14:schemeClr w14:val="tx1"/>
                  </w14:solidFill>
                </w14:textFill>
              </w:rPr>
              <w:t>天，则本项目</w:t>
            </w:r>
            <w:r>
              <w:rPr>
                <w:rFonts w:hint="eastAsia" w:cs="Times New Roman"/>
                <w:color w:val="000000" w:themeColor="text1"/>
                <w:sz w:val="24"/>
                <w:szCs w:val="24"/>
                <w:lang w:val="en-US" w:eastAsia="zh-CN"/>
                <w14:textFill>
                  <w14:solidFill>
                    <w14:schemeClr w14:val="tx1"/>
                  </w14:solidFill>
                </w14:textFill>
              </w:rPr>
              <w:t>办公</w:t>
            </w:r>
            <w:r>
              <w:rPr>
                <w:rFonts w:hint="default" w:ascii="Times New Roman" w:hAnsi="Times New Roman" w:eastAsia="宋体" w:cs="Times New Roman"/>
                <w:color w:val="000000" w:themeColor="text1"/>
                <w:sz w:val="24"/>
                <w:szCs w:val="24"/>
                <w14:textFill>
                  <w14:solidFill>
                    <w14:schemeClr w14:val="tx1"/>
                  </w14:solidFill>
                </w14:textFill>
              </w:rPr>
              <w:t>用水量为</w:t>
            </w:r>
            <w:r>
              <w:rPr>
                <w:rFonts w:hint="default" w:ascii="Times New Roman" w:hAnsi="Times New Roman" w:cs="Times New Roman"/>
                <w:color w:val="000000" w:themeColor="text1"/>
                <w:sz w:val="24"/>
                <w:szCs w:val="24"/>
                <w:lang w:val="en-US" w:eastAsia="zh-CN"/>
                <w14:textFill>
                  <w14:solidFill>
                    <w14:schemeClr w14:val="tx1"/>
                  </w14:solidFill>
                </w14:textFill>
              </w:rPr>
              <w:t>0.25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14:paraId="4E1643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vertAlign w:val="baseline"/>
                <w:lang w:val="en-US" w:eastAsia="zh-CN" w:bidi="ar-SA"/>
                <w14:textFill>
                  <w14:solidFill>
                    <w14:schemeClr w14:val="tx1"/>
                  </w14:solidFill>
                </w14:textFill>
              </w:rPr>
              <w:t>2）</w:t>
            </w:r>
            <w:r>
              <w:rPr>
                <w:rFonts w:hint="eastAsia" w:cs="Times New Roman"/>
                <w:color w:val="000000" w:themeColor="text1"/>
                <w:sz w:val="24"/>
                <w:szCs w:val="24"/>
                <w:vertAlign w:val="baseline"/>
                <w:lang w:val="en-US" w:eastAsia="zh-CN"/>
                <w14:textFill>
                  <w14:solidFill>
                    <w14:schemeClr w14:val="tx1"/>
                  </w14:solidFill>
                </w14:textFill>
              </w:rPr>
              <w:t>生物菌剂（成品）扩繁用水</w:t>
            </w:r>
          </w:p>
          <w:p w14:paraId="539280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vertAlign w:val="baseline"/>
                <w:lang w:val="en-US" w:eastAsia="zh-CN"/>
                <w14:textFill>
                  <w14:solidFill>
                    <w14:schemeClr w14:val="tx1"/>
                  </w14:solidFill>
                </w14:textFill>
              </w:rPr>
            </w:pPr>
            <w:r>
              <w:rPr>
                <w:rFonts w:hint="eastAsia" w:cs="Times New Roman"/>
                <w:color w:val="000000" w:themeColor="text1"/>
                <w:sz w:val="24"/>
                <w:szCs w:val="24"/>
                <w:vertAlign w:val="baseline"/>
                <w:lang w:val="en-US" w:eastAsia="zh-CN"/>
                <w14:textFill>
                  <w14:solidFill>
                    <w14:schemeClr w14:val="tx1"/>
                  </w14:solidFill>
                </w14:textFill>
              </w:rPr>
              <w:t>本项目在生物菌剂使用过程中为提高发酵效果，将成品微生物菌剂使用灭菌后的自来水混合进行扩繁发酵，</w:t>
            </w:r>
            <w:r>
              <w:rPr>
                <w:rFonts w:hint="eastAsia" w:cs="Times New Roman"/>
                <w:color w:val="000000" w:themeColor="text1"/>
                <w:sz w:val="24"/>
                <w:szCs w:val="24"/>
                <w:lang w:val="en-US" w:eastAsia="zh-CN"/>
                <w14:textFill>
                  <w14:solidFill>
                    <w14:schemeClr w14:val="tx1"/>
                  </w14:solidFill>
                </w14:textFill>
              </w:rPr>
              <w:t>根据建设单位提供的资料，水与微生物菌剂用水量配比为5:1，微生物菌剂用量为110t，</w:t>
            </w:r>
            <w:r>
              <w:rPr>
                <w:rFonts w:hint="eastAsia" w:cs="Times New Roman"/>
                <w:color w:val="000000" w:themeColor="text1"/>
                <w:kern w:val="0"/>
                <w:sz w:val="24"/>
                <w:szCs w:val="24"/>
                <w:lang w:val="en-US" w:eastAsia="zh-CN" w:bidi="ar"/>
                <w14:textFill>
                  <w14:solidFill>
                    <w14:schemeClr w14:val="tx1"/>
                  </w14:solidFill>
                </w14:textFill>
              </w:rPr>
              <w:t>则用水量为550</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cs="Times New Roman"/>
                <w:color w:val="000000" w:themeColor="text1"/>
                <w:kern w:val="0"/>
                <w:sz w:val="24"/>
                <w:szCs w:val="24"/>
                <w:vertAlign w:val="baseline"/>
                <w:lang w:val="en-US" w:eastAsia="zh-CN" w:bidi="ar"/>
                <w14:textFill>
                  <w14:solidFill>
                    <w14:schemeClr w14:val="tx1"/>
                  </w14:solidFill>
                </w14:textFill>
              </w:rPr>
              <w:t>/a。</w:t>
            </w:r>
          </w:p>
          <w:p w14:paraId="73BE83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罐体清洗</w:t>
            </w:r>
            <w:r>
              <w:rPr>
                <w:rFonts w:hint="default" w:ascii="Times New Roman" w:hAnsi="Times New Roman" w:cs="Times New Roman"/>
                <w:color w:val="000000" w:themeColor="text1"/>
                <w:sz w:val="24"/>
                <w:szCs w:val="24"/>
                <w:lang w:val="en-US" w:eastAsia="zh-CN"/>
                <w14:textFill>
                  <w14:solidFill>
                    <w14:schemeClr w14:val="tx1"/>
                  </w14:solidFill>
                </w14:textFill>
              </w:rPr>
              <w:t>用水</w:t>
            </w:r>
          </w:p>
          <w:p w14:paraId="43FA6F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在成品菌剂扩繁结束后需用灭菌水进行清洗，根据建设单位提供的资料，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洗涤</w:t>
            </w:r>
            <w:r>
              <w:rPr>
                <w:rFonts w:hint="eastAsia" w:cs="Times New Roman"/>
                <w:color w:val="000000" w:themeColor="text1"/>
                <w:kern w:val="0"/>
                <w:sz w:val="24"/>
                <w:szCs w:val="24"/>
                <w:lang w:val="en-US" w:eastAsia="zh-CN" w:bidi="ar"/>
                <w14:textFill>
                  <w14:solidFill>
                    <w14:schemeClr w14:val="tx1"/>
                  </w14:solidFill>
                </w14:textFill>
              </w:rPr>
              <w:t>用水量约为罐体容积的20%，扩繁罐的有效</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容积约为</w:t>
            </w: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3个扩繁罐，清洗频次为一个月清洗2次，全年清洗12次，</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故每次</w:t>
            </w:r>
            <w:r>
              <w:rPr>
                <w:rFonts w:hint="eastAsia" w:cs="Times New Roman"/>
                <w:color w:val="000000" w:themeColor="text1"/>
                <w:kern w:val="0"/>
                <w:sz w:val="24"/>
                <w:szCs w:val="24"/>
                <w:lang w:val="en-US" w:eastAsia="zh-CN" w:bidi="ar"/>
                <w14:textFill>
                  <w14:solidFill>
                    <w14:schemeClr w14:val="tx1"/>
                  </w14:solidFill>
                </w14:textFill>
              </w:rPr>
              <w:t>清洗水量</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为</w:t>
            </w:r>
            <w:r>
              <w:rPr>
                <w:rFonts w:hint="eastAsia" w:cs="Times New Roman"/>
                <w:color w:val="000000" w:themeColor="text1"/>
                <w:kern w:val="0"/>
                <w:sz w:val="24"/>
                <w:szCs w:val="24"/>
                <w:lang w:val="en-US" w:eastAsia="zh-CN" w:bidi="ar"/>
                <w14:textFill>
                  <w14:solidFill>
                    <w14:schemeClr w14:val="tx1"/>
                  </w14:solidFill>
                </w14:textFill>
              </w:rPr>
              <w:t>0.6</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平均</w:t>
            </w:r>
            <w:r>
              <w:rPr>
                <w:rFonts w:hint="default" w:ascii="Times New Roman" w:hAnsi="Times New Roman" w:cs="Times New Roman"/>
                <w:color w:val="000000" w:themeColor="text1"/>
                <w:sz w:val="24"/>
                <w:szCs w:val="24"/>
                <w:lang w:val="en-US" w:eastAsia="zh-CN"/>
                <w14:textFill>
                  <w14:solidFill>
                    <w14:schemeClr w14:val="tx1"/>
                  </w14:solidFill>
                </w14:textFill>
              </w:rPr>
              <w:t>年用水量</w:t>
            </w:r>
            <w:r>
              <w:rPr>
                <w:rFonts w:hint="eastAsia"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w:t>
            </w:r>
            <w:r>
              <w:rPr>
                <w:rFonts w:hint="default" w:ascii="Times New Roman" w:hAnsi="Times New Roman" w:cs="Times New Roman"/>
                <w:color w:val="auto"/>
                <w:sz w:val="24"/>
                <w:szCs w:val="24"/>
                <w:lang w:val="en-US" w:eastAsia="zh-CN"/>
              </w:rPr>
              <w:t>清洗</w:t>
            </w:r>
            <w:r>
              <w:rPr>
                <w:rFonts w:hint="eastAsia" w:cs="Times New Roman"/>
                <w:color w:val="auto"/>
                <w:sz w:val="24"/>
                <w:szCs w:val="24"/>
                <w:lang w:val="en-US" w:eastAsia="zh-CN"/>
              </w:rPr>
              <w:t>后经收集</w:t>
            </w:r>
            <w:r>
              <w:rPr>
                <w:rFonts w:hint="default" w:ascii="Times New Roman" w:hAnsi="Times New Roman" w:cs="Times New Roman"/>
                <w:color w:val="auto"/>
                <w:sz w:val="24"/>
                <w:szCs w:val="24"/>
                <w:lang w:val="en-US" w:eastAsia="zh-CN"/>
              </w:rPr>
              <w:t>回用至</w:t>
            </w:r>
            <w:r>
              <w:rPr>
                <w:rFonts w:hint="eastAsia" w:ascii="Times New Roman" w:hAnsi="Times New Roman" w:cs="Times New Roman"/>
                <w:color w:val="auto"/>
                <w:sz w:val="24"/>
                <w:szCs w:val="24"/>
                <w:lang w:val="en-US" w:eastAsia="zh-CN"/>
              </w:rPr>
              <w:t>发酵过程补充用水</w:t>
            </w:r>
            <w:r>
              <w:rPr>
                <w:rFonts w:hint="default" w:ascii="Times New Roman" w:hAnsi="Times New Roman" w:cs="Times New Roman"/>
                <w:color w:val="auto"/>
                <w:sz w:val="24"/>
                <w:szCs w:val="24"/>
                <w:lang w:val="en-US" w:eastAsia="zh-CN"/>
              </w:rPr>
              <w:t>。</w:t>
            </w:r>
          </w:p>
          <w:p w14:paraId="1E1D5939">
            <w:pPr>
              <w:numPr>
                <w:ilvl w:val="0"/>
                <w:numId w:val="0"/>
              </w:numPr>
              <w:spacing w:line="360" w:lineRule="auto"/>
              <w:ind w:left="0" w:leftChars="0" w:firstLine="480" w:firstLineChars="200"/>
              <w:jc w:val="left"/>
              <w:rPr>
                <w:rFonts w:hint="eastAsia" w:cs="Times New Roman"/>
                <w:color w:val="000000" w:themeColor="text1"/>
                <w:sz w:val="24"/>
                <w:szCs w:val="24"/>
                <w:vertAlign w:val="baseline"/>
                <w:lang w:val="en-US" w:eastAsia="zh-CN"/>
                <w14:textFill>
                  <w14:solidFill>
                    <w14:schemeClr w14:val="tx1"/>
                  </w14:solidFill>
                </w14:textFill>
              </w:rPr>
            </w:pPr>
            <w:r>
              <w:rPr>
                <w:rFonts w:hint="eastAsia" w:cs="Times New Roman"/>
                <w:color w:val="000000" w:themeColor="text1"/>
                <w:kern w:val="2"/>
                <w:sz w:val="24"/>
                <w:szCs w:val="24"/>
                <w:vertAlign w:val="baseli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vertAlign w:val="baseline"/>
                <w:lang w:val="en-US" w:eastAsia="zh-CN" w:bidi="ar-SA"/>
                <w14:textFill>
                  <w14:solidFill>
                    <w14:schemeClr w14:val="tx1"/>
                  </w14:solidFill>
                </w14:textFill>
              </w:rPr>
              <w:t>）</w:t>
            </w:r>
            <w:r>
              <w:rPr>
                <w:rFonts w:hint="eastAsia" w:cs="Times New Roman"/>
                <w:color w:val="000000" w:themeColor="text1"/>
                <w:sz w:val="24"/>
                <w:szCs w:val="24"/>
                <w:vertAlign w:val="baseline"/>
                <w:lang w:val="en-US" w:eastAsia="zh-CN"/>
                <w14:textFill>
                  <w14:solidFill>
                    <w14:schemeClr w14:val="tx1"/>
                  </w14:solidFill>
                </w14:textFill>
              </w:rPr>
              <w:t>发酵补充水</w:t>
            </w:r>
          </w:p>
          <w:p w14:paraId="2C3B3E8C">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000000" w:themeColor="text1"/>
                <w:sz w:val="24"/>
                <w:szCs w:val="24"/>
                <w:vertAlign w:val="baseline"/>
                <w:lang w:val="en-US" w:eastAsia="zh-CN"/>
                <w14:textFill>
                  <w14:solidFill>
                    <w14:schemeClr w14:val="tx1"/>
                  </w14:solidFill>
                </w14:textFill>
              </w:rPr>
              <w:t>本项目</w:t>
            </w:r>
            <w:r>
              <w:rPr>
                <w:rFonts w:hint="default" w:cs="Times New Roman"/>
                <w:color w:val="000000" w:themeColor="text1"/>
                <w:sz w:val="24"/>
                <w:szCs w:val="24"/>
                <w:vertAlign w:val="baseline"/>
                <w:lang w:val="en-US" w:eastAsia="zh-CN"/>
                <w14:textFill>
                  <w14:solidFill>
                    <w14:schemeClr w14:val="tx1"/>
                  </w14:solidFill>
                </w14:textFill>
              </w:rPr>
              <w:t>物料在发酵过程中，不断的有水分蒸发损耗，在发酵前期为了保持物料保持在含水率 50-60%左右的含水率，需要适当补充水，根据建设单位的提供的资料，发酵过程中补充水量约</w:t>
            </w:r>
            <w:r>
              <w:rPr>
                <w:rFonts w:hint="eastAsia" w:cs="Times New Roman"/>
                <w:color w:val="000000" w:themeColor="text1"/>
                <w:sz w:val="24"/>
                <w:szCs w:val="24"/>
                <w:vertAlign w:val="baseline"/>
                <w:lang w:val="en-US" w:eastAsia="zh-CN"/>
                <w14:textFill>
                  <w14:solidFill>
                    <w14:schemeClr w14:val="tx1"/>
                  </w14:solidFill>
                </w14:textFill>
              </w:rPr>
              <w:t>原料的3%，则补充水量为9</w:t>
            </w:r>
            <w:r>
              <w:rPr>
                <w:rFonts w:hint="default" w:cs="Times New Roman"/>
                <w:color w:val="000000" w:themeColor="text1"/>
                <w:sz w:val="24"/>
                <w:szCs w:val="24"/>
                <w:vertAlign w:val="baseline"/>
                <w:lang w:val="en-US" w:eastAsia="zh-CN"/>
                <w14:textFill>
                  <w14:solidFill>
                    <w14:schemeClr w14:val="tx1"/>
                  </w14:solidFill>
                </w14:textFill>
              </w:rPr>
              <w:t>00 m</w:t>
            </w:r>
            <w:r>
              <w:rPr>
                <w:rFonts w:hint="eastAsia" w:cs="Times New Roman"/>
                <w:color w:val="000000" w:themeColor="text1"/>
                <w:sz w:val="24"/>
                <w:szCs w:val="24"/>
                <w:vertAlign w:val="superscript"/>
                <w:lang w:val="en-US" w:eastAsia="zh-CN"/>
                <w14:textFill>
                  <w14:solidFill>
                    <w14:schemeClr w14:val="tx1"/>
                  </w14:solidFill>
                </w14:textFill>
              </w:rPr>
              <w:t>3</w:t>
            </w:r>
            <w:r>
              <w:rPr>
                <w:rFonts w:hint="default" w:cs="Times New Roman"/>
                <w:color w:val="000000" w:themeColor="text1"/>
                <w:sz w:val="24"/>
                <w:szCs w:val="24"/>
                <w:vertAlign w:val="baseline"/>
                <w:lang w:val="en-US" w:eastAsia="zh-CN"/>
                <w14:textFill>
                  <w14:solidFill>
                    <w14:schemeClr w14:val="tx1"/>
                  </w14:solidFill>
                </w14:textFill>
              </w:rPr>
              <w:t>/a</w:t>
            </w:r>
            <w:r>
              <w:rPr>
                <w:rFonts w:hint="eastAsia"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color w:val="auto"/>
                <w:sz w:val="24"/>
                <w:szCs w:val="24"/>
                <w:lang w:val="en-US" w:eastAsia="zh-CN"/>
              </w:rPr>
              <w:t>其中</w:t>
            </w:r>
            <w:r>
              <w:rPr>
                <w:rFonts w:hint="eastAsia" w:cs="Times New Roman"/>
                <w:color w:val="auto"/>
                <w:sz w:val="24"/>
                <w:szCs w:val="24"/>
                <w:lang w:val="en-US" w:eastAsia="zh-CN"/>
              </w:rPr>
              <w:t>14.4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a</w:t>
            </w:r>
            <w:r>
              <w:rPr>
                <w:rFonts w:hint="default" w:ascii="Times New Roman" w:hAnsi="Times New Roman" w:cs="Times New Roman"/>
                <w:color w:val="auto"/>
                <w:sz w:val="24"/>
                <w:szCs w:val="24"/>
                <w:lang w:val="en-US" w:eastAsia="zh-CN"/>
              </w:rPr>
              <w:t>来自罐体清洗水，则新鲜用水量为</w:t>
            </w:r>
            <w:r>
              <w:rPr>
                <w:rFonts w:hint="eastAsia" w:ascii="Times New Roman" w:hAnsi="Times New Roman" w:cs="Times New Roman"/>
                <w:color w:val="auto"/>
                <w:sz w:val="24"/>
                <w:szCs w:val="24"/>
                <w:lang w:val="en-US" w:eastAsia="zh-CN"/>
              </w:rPr>
              <w:t>2.952</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cs="Times New Roman"/>
                <w:color w:val="auto"/>
                <w:sz w:val="24"/>
                <w:szCs w:val="24"/>
                <w:lang w:val="en-US" w:eastAsia="zh-CN"/>
              </w:rPr>
              <w:t>885.6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14:paraId="7E6EA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000000" w:themeColor="text1"/>
                <w:sz w:val="24"/>
                <w:szCs w:val="24"/>
                <w:lang w:val="en-US" w:eastAsia="zh-CN"/>
                <w14:textFill>
                  <w14:solidFill>
                    <w14:schemeClr w14:val="tx1"/>
                  </w14:solidFill>
                </w14:textFill>
              </w:rPr>
              <w:t>生物滤池预洗用水</w:t>
            </w:r>
          </w:p>
          <w:p w14:paraId="77588638">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本项目臭气治理过程中，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臭气经导口先平流进入前期水洗涤区，在洗涤区完成对臭气的水吸收、除尘及加湿预处理，洗涤池</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容积约为1.5m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，每次加水约占池容积的80%，故每次加水量为1.2m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年用水量14.4m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/a。</w:t>
            </w:r>
          </w:p>
          <w:p w14:paraId="02A5EC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（2）排水</w:t>
            </w:r>
          </w:p>
          <w:p w14:paraId="4B78E9EE">
            <w:pPr>
              <w:spacing w:line="360" w:lineRule="auto"/>
              <w:ind w:firstLine="480" w:firstLineChars="200"/>
              <w:jc w:val="left"/>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本项目生物菌剂（成品）扩繁用水</w:t>
            </w:r>
            <w:r>
              <w:rPr>
                <w:rFonts w:hint="eastAsia" w:cs="Times New Roman"/>
                <w:color w:val="000000" w:themeColor="text1"/>
                <w:sz w:val="24"/>
                <w:szCs w:val="24"/>
                <w:lang w:val="en-US" w:eastAsia="zh-CN"/>
                <w14:textFill>
                  <w14:solidFill>
                    <w14:schemeClr w14:val="tx1"/>
                  </w14:solidFill>
                </w14:textFill>
              </w:rPr>
              <w:t>全部用于发酵搅拌工序，</w:t>
            </w:r>
            <w:r>
              <w:rPr>
                <w:rFonts w:hint="eastAsia" w:cs="Times New Roman"/>
                <w:color w:val="000000" w:themeColor="text1"/>
                <w:kern w:val="0"/>
                <w:sz w:val="24"/>
                <w:szCs w:val="24"/>
                <w:lang w:val="en-US" w:eastAsia="zh-CN" w:bidi="ar"/>
                <w14:textFill>
                  <w14:solidFill>
                    <w14:schemeClr w14:val="tx1"/>
                  </w14:solidFill>
                </w14:textFill>
              </w:rPr>
              <w:t>清洗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的废水采用塑料桶收集后</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用于</w:t>
            </w:r>
            <w:r>
              <w:rPr>
                <w:rFonts w:hint="eastAsia" w:cs="Times New Roman"/>
                <w:color w:val="000000" w:themeColor="text1"/>
                <w:kern w:val="0"/>
                <w:sz w:val="24"/>
                <w:szCs w:val="24"/>
                <w:lang w:val="en-US" w:eastAsia="zh-CN" w:bidi="ar"/>
                <w14:textFill>
                  <w14:solidFill>
                    <w14:schemeClr w14:val="tx1"/>
                  </w14:solidFill>
                </w14:textFill>
              </w:rPr>
              <w:t>发酵工序</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因此</w:t>
            </w:r>
            <w:r>
              <w:rPr>
                <w:rFonts w:hint="default" w:ascii="Times New Roman" w:hAnsi="Times New Roman" w:cs="Times New Roman"/>
                <w:color w:val="000000" w:themeColor="text1"/>
                <w:sz w:val="24"/>
                <w:szCs w:val="24"/>
                <w:lang w:val="en-US" w:eastAsia="zh-CN"/>
                <w14:textFill>
                  <w14:solidFill>
                    <w14:schemeClr w14:val="tx1"/>
                  </w14:solidFill>
                </w14:textFill>
              </w:rPr>
              <w:t>废水主要为生活污水</w:t>
            </w:r>
            <w:r>
              <w:rPr>
                <w:rFonts w:hint="eastAsia" w:cs="Times New Roman"/>
                <w:color w:val="000000" w:themeColor="text1"/>
                <w:sz w:val="24"/>
                <w:szCs w:val="24"/>
                <w:lang w:val="en-US" w:eastAsia="zh-CN"/>
                <w14:textFill>
                  <w14:solidFill>
                    <w14:schemeClr w14:val="tx1"/>
                  </w14:solidFill>
                </w14:textFill>
              </w:rPr>
              <w:t>、生物滤池预洗废水</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5673967B">
            <w:pPr>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生活污水</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废水</w:t>
            </w:r>
            <w:r>
              <w:rPr>
                <w:rFonts w:hint="default" w:ascii="Times New Roman" w:hAnsi="Times New Roman" w:cs="Times New Roman"/>
                <w:color w:val="000000" w:themeColor="text1"/>
                <w:sz w:val="24"/>
                <w:szCs w:val="24"/>
                <w:lang w:val="en-US" w:eastAsia="zh-CN"/>
                <w14:textFill>
                  <w14:solidFill>
                    <w14:schemeClr w14:val="tx1"/>
                  </w14:solidFill>
                </w14:textFill>
              </w:rPr>
              <w:t>产生</w:t>
            </w:r>
            <w:r>
              <w:rPr>
                <w:rFonts w:hint="default" w:ascii="Times New Roman" w:hAnsi="Times New Roman" w:eastAsia="宋体" w:cs="Times New Roman"/>
                <w:color w:val="000000" w:themeColor="text1"/>
                <w:sz w:val="24"/>
                <w:szCs w:val="24"/>
                <w14:textFill>
                  <w14:solidFill>
                    <w14:schemeClr w14:val="tx1"/>
                  </w14:solidFill>
                </w14:textFill>
              </w:rPr>
              <w:t>量按用水量的85%计</w:t>
            </w:r>
            <w:r>
              <w:rPr>
                <w:rFonts w:hint="default" w:ascii="Times New Roman" w:hAnsi="Times New Roman" w:eastAsia="宋体" w:cs="Times New Roman"/>
                <w:bCs/>
                <w:color w:val="000000" w:themeColor="text1"/>
                <w:sz w:val="24"/>
                <w:szCs w:val="24"/>
                <w14:textFill>
                  <w14:solidFill>
                    <w14:schemeClr w14:val="tx1"/>
                  </w14:solidFill>
                </w14:textFill>
              </w:rPr>
              <w:t>，则员工</w:t>
            </w:r>
            <w:r>
              <w:rPr>
                <w:rFonts w:hint="default" w:ascii="Times New Roman" w:hAnsi="Times New Roman" w:cs="Times New Roman"/>
                <w:bCs/>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Cs/>
                <w:color w:val="000000" w:themeColor="text1"/>
                <w:sz w:val="24"/>
                <w:szCs w:val="24"/>
                <w14:textFill>
                  <w14:solidFill>
                    <w14:schemeClr w14:val="tx1"/>
                  </w14:solidFill>
                </w14:textFill>
              </w:rPr>
              <w:t>产生量为</w:t>
            </w:r>
            <w:r>
              <w:rPr>
                <w:rFonts w:hint="default" w:ascii="Times New Roman" w:hAnsi="Times New Roman" w:cs="Times New Roman"/>
                <w:bCs/>
                <w:color w:val="000000" w:themeColor="text1"/>
                <w:sz w:val="24"/>
                <w:szCs w:val="24"/>
                <w:lang w:val="en-US" w:eastAsia="zh-CN"/>
                <w14:textFill>
                  <w14:solidFill>
                    <w14:schemeClr w14:val="tx1"/>
                  </w14:solidFill>
                </w14:textFill>
              </w:rPr>
              <w:t>0.213</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w:t>
            </w:r>
            <w:r>
              <w:rPr>
                <w:rFonts w:hint="default" w:ascii="Times New Roman" w:hAnsi="Times New Roman" w:cs="Times New Roman"/>
                <w:bCs/>
                <w:color w:val="000000" w:themeColor="text1"/>
                <w:sz w:val="24"/>
                <w:szCs w:val="24"/>
                <w:lang w:val="en-US" w:eastAsia="zh-CN"/>
                <w14:textFill>
                  <w14:solidFill>
                    <w14:schemeClr w14:val="tx1"/>
                  </w14:solidFill>
                </w14:textFill>
              </w:rPr>
              <w:t>63.9</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/a</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生活污水经</w:t>
            </w:r>
            <w:r>
              <w:rPr>
                <w:rFonts w:hint="eastAsia" w:cs="Times New Roman"/>
                <w:color w:val="000000" w:themeColor="text1"/>
                <w:sz w:val="24"/>
                <w:szCs w:val="24"/>
                <w:lang w:val="en-US" w:eastAsia="zh-CN"/>
                <w14:textFill>
                  <w14:solidFill>
                    <w14:schemeClr w14:val="tx1"/>
                  </w14:solidFill>
                </w14:textFill>
              </w:rPr>
              <w:t>化粪池处理后用于农田堆肥</w:t>
            </w:r>
            <w:r>
              <w:rPr>
                <w:rFonts w:hint="default" w:ascii="Times New Roman" w:hAnsi="Times New Roman" w:eastAsia="宋体" w:cs="Times New Roman"/>
                <w:color w:val="000000" w:themeColor="text1"/>
                <w:sz w:val="24"/>
                <w:szCs w:val="24"/>
                <w14:textFill>
                  <w14:solidFill>
                    <w14:schemeClr w14:val="tx1"/>
                  </w14:solidFill>
                </w14:textFill>
              </w:rPr>
              <w:t>。</w:t>
            </w:r>
          </w:p>
          <w:p w14:paraId="564CDFF5">
            <w:pPr>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生物滤池预洗废水：一体化生物滤池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洗涤池洗涤水需定期更换，更换频率约1次/月，更换一次产生废水约1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，因此预洗废水产生量约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16.8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/a，更换的废水采用塑料桶收集后</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用于农田堆肥</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p>
          <w:p w14:paraId="1AE91F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项目给排水平衡见图</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1，项目运营后的用水及废水产生情况见表2-</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w:t>
            </w:r>
          </w:p>
          <w:p w14:paraId="03E4684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项目用水及污水排放情况一览表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31"/>
              <w:gridCol w:w="1033"/>
              <w:gridCol w:w="984"/>
              <w:gridCol w:w="866"/>
              <w:gridCol w:w="917"/>
              <w:gridCol w:w="883"/>
              <w:gridCol w:w="1017"/>
              <w:gridCol w:w="872"/>
            </w:tblGrid>
            <w:tr w14:paraId="3FA62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44" w:type="pct"/>
                  <w:vMerge w:val="restart"/>
                  <w:noWrap w:val="0"/>
                  <w:vAlign w:val="center"/>
                </w:tcPr>
                <w:p w14:paraId="609CCA11">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用水单元</w:t>
                  </w:r>
                </w:p>
              </w:tc>
              <w:tc>
                <w:tcPr>
                  <w:tcW w:w="637" w:type="pct"/>
                  <w:vMerge w:val="restart"/>
                  <w:noWrap w:val="0"/>
                  <w:vAlign w:val="center"/>
                </w:tcPr>
                <w:p w14:paraId="6F2645B0">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使用人数</w:t>
                  </w:r>
                </w:p>
                <w:p w14:paraId="054A6DA0">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或单位数</w:t>
                  </w:r>
                </w:p>
              </w:tc>
              <w:tc>
                <w:tcPr>
                  <w:tcW w:w="607" w:type="pct"/>
                  <w:vMerge w:val="restart"/>
                  <w:noWrap w:val="0"/>
                  <w:vAlign w:val="center"/>
                </w:tcPr>
                <w:p w14:paraId="65EBC790">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用水</w:t>
                  </w:r>
                </w:p>
                <w:p w14:paraId="14C537CD">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标准</w:t>
                  </w:r>
                </w:p>
              </w:tc>
              <w:tc>
                <w:tcPr>
                  <w:tcW w:w="534" w:type="pct"/>
                  <w:vMerge w:val="restart"/>
                  <w:noWrap w:val="0"/>
                  <w:vAlign w:val="center"/>
                </w:tcPr>
                <w:p w14:paraId="3BD3CD3A">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年用水</w:t>
                  </w:r>
                </w:p>
                <w:p w14:paraId="69D54807">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天数</w:t>
                  </w:r>
                </w:p>
              </w:tc>
              <w:tc>
                <w:tcPr>
                  <w:tcW w:w="1110" w:type="pct"/>
                  <w:gridSpan w:val="2"/>
                  <w:noWrap w:val="0"/>
                  <w:vAlign w:val="center"/>
                </w:tcPr>
                <w:p w14:paraId="3BE9FCB1">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用水量</w:t>
                  </w:r>
                </w:p>
              </w:tc>
              <w:tc>
                <w:tcPr>
                  <w:tcW w:w="1165" w:type="pct"/>
                  <w:gridSpan w:val="2"/>
                  <w:noWrap w:val="0"/>
                  <w:vAlign w:val="center"/>
                </w:tcPr>
                <w:p w14:paraId="09D13750">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产生污水量</w:t>
                  </w:r>
                </w:p>
              </w:tc>
            </w:tr>
            <w:tr w14:paraId="64799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44" w:type="pct"/>
                  <w:vMerge w:val="continue"/>
                  <w:noWrap w:val="0"/>
                  <w:vAlign w:val="center"/>
                </w:tcPr>
                <w:p w14:paraId="2988605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37" w:type="pct"/>
                  <w:vMerge w:val="continue"/>
                  <w:noWrap w:val="0"/>
                  <w:vAlign w:val="center"/>
                </w:tcPr>
                <w:p w14:paraId="59FC565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07" w:type="pct"/>
                  <w:vMerge w:val="continue"/>
                  <w:noWrap w:val="0"/>
                  <w:vAlign w:val="center"/>
                </w:tcPr>
                <w:p w14:paraId="20CF02D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34" w:type="pct"/>
                  <w:vMerge w:val="continue"/>
                  <w:noWrap w:val="0"/>
                  <w:vAlign w:val="center"/>
                </w:tcPr>
                <w:p w14:paraId="57FB4DE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65" w:type="pct"/>
                  <w:noWrap w:val="0"/>
                  <w:vAlign w:val="center"/>
                </w:tcPr>
                <w:p w14:paraId="70680649">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d</w:t>
                  </w:r>
                </w:p>
              </w:tc>
              <w:tc>
                <w:tcPr>
                  <w:tcW w:w="544" w:type="pct"/>
                  <w:noWrap w:val="0"/>
                  <w:vAlign w:val="center"/>
                </w:tcPr>
                <w:p w14:paraId="392C9103">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/a</w:t>
                  </w:r>
                </w:p>
              </w:tc>
              <w:tc>
                <w:tcPr>
                  <w:tcW w:w="627" w:type="pct"/>
                  <w:noWrap w:val="0"/>
                  <w:vAlign w:val="center"/>
                </w:tcPr>
                <w:p w14:paraId="7636666A">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/d</w:t>
                  </w:r>
                </w:p>
              </w:tc>
              <w:tc>
                <w:tcPr>
                  <w:tcW w:w="538" w:type="pct"/>
                  <w:noWrap w:val="0"/>
                  <w:vAlign w:val="center"/>
                </w:tcPr>
                <w:p w14:paraId="1795E185">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/a</w:t>
                  </w:r>
                </w:p>
              </w:tc>
            </w:tr>
            <w:tr w14:paraId="15447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44" w:type="pct"/>
                  <w:noWrap w:val="0"/>
                  <w:vAlign w:val="center"/>
                </w:tcPr>
                <w:p w14:paraId="7170C5D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生活</w:t>
                  </w:r>
                  <w:r>
                    <w:rPr>
                      <w:rFonts w:hint="default" w:ascii="Times New Roman" w:hAnsi="Times New Roman" w:eastAsia="宋体" w:cs="Times New Roman"/>
                      <w:color w:val="000000" w:themeColor="text1"/>
                      <w:szCs w:val="21"/>
                      <w14:textFill>
                        <w14:solidFill>
                          <w14:schemeClr w14:val="tx1"/>
                        </w14:solidFill>
                      </w14:textFill>
                    </w:rPr>
                    <w:t>用水</w:t>
                  </w:r>
                </w:p>
              </w:tc>
              <w:tc>
                <w:tcPr>
                  <w:tcW w:w="637" w:type="pct"/>
                  <w:noWrap w:val="0"/>
                  <w:vAlign w:val="center"/>
                </w:tcPr>
                <w:p w14:paraId="664D446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人</w:t>
                  </w:r>
                </w:p>
              </w:tc>
              <w:tc>
                <w:tcPr>
                  <w:tcW w:w="607" w:type="pct"/>
                  <w:noWrap w:val="0"/>
                  <w:vAlign w:val="center"/>
                </w:tcPr>
                <w:p w14:paraId="771D365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r>
                    <w:rPr>
                      <w:rFonts w:hint="default" w:ascii="Times New Roman" w:hAnsi="Times New Roman" w:eastAsia="宋体" w:cs="Times New Roman"/>
                      <w:color w:val="000000" w:themeColor="text1"/>
                      <w:szCs w:val="21"/>
                      <w14:textFill>
                        <w14:solidFill>
                          <w14:schemeClr w14:val="tx1"/>
                        </w14:solidFill>
                      </w14:textFill>
                    </w:rPr>
                    <w:t>L/d·人</w:t>
                  </w:r>
                </w:p>
              </w:tc>
              <w:tc>
                <w:tcPr>
                  <w:tcW w:w="534" w:type="pct"/>
                  <w:noWrap w:val="0"/>
                  <w:vAlign w:val="center"/>
                </w:tcPr>
                <w:p w14:paraId="709A563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300</w:t>
                  </w:r>
                </w:p>
              </w:tc>
              <w:tc>
                <w:tcPr>
                  <w:tcW w:w="565" w:type="pct"/>
                  <w:noWrap w:val="0"/>
                  <w:vAlign w:val="center"/>
                </w:tcPr>
                <w:p w14:paraId="2CFD1E3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0.25</w:t>
                  </w:r>
                </w:p>
              </w:tc>
              <w:tc>
                <w:tcPr>
                  <w:tcW w:w="544" w:type="pct"/>
                  <w:noWrap w:val="0"/>
                  <w:vAlign w:val="center"/>
                </w:tcPr>
                <w:p w14:paraId="0ABB600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627" w:type="pct"/>
                  <w:noWrap w:val="0"/>
                  <w:vAlign w:val="center"/>
                </w:tcPr>
                <w:p w14:paraId="0D96C86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0.213</w:t>
                  </w:r>
                </w:p>
              </w:tc>
              <w:tc>
                <w:tcPr>
                  <w:tcW w:w="538" w:type="pct"/>
                  <w:noWrap w:val="0"/>
                  <w:vAlign w:val="center"/>
                </w:tcPr>
                <w:p w14:paraId="7675BBC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63.9</w:t>
                  </w:r>
                </w:p>
              </w:tc>
            </w:tr>
            <w:tr w14:paraId="17F8C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44" w:type="pct"/>
                  <w:noWrap w:val="0"/>
                  <w:vAlign w:val="center"/>
                </w:tcPr>
                <w:p w14:paraId="48DE55C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 w:val="24"/>
                      <w:szCs w:val="24"/>
                      <w:vertAlign w:val="baseline"/>
                      <w:lang w:val="en-US" w:eastAsia="zh-CN"/>
                      <w14:textFill>
                        <w14:solidFill>
                          <w14:schemeClr w14:val="tx1"/>
                        </w14:solidFill>
                      </w14:textFill>
                    </w:rPr>
                    <w:t>扩繁用水</w:t>
                  </w:r>
                </w:p>
              </w:tc>
              <w:tc>
                <w:tcPr>
                  <w:tcW w:w="637" w:type="pct"/>
                  <w:noWrap w:val="0"/>
                  <w:vAlign w:val="center"/>
                </w:tcPr>
                <w:p w14:paraId="5A491F7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607" w:type="pct"/>
                  <w:noWrap w:val="0"/>
                  <w:vAlign w:val="center"/>
                </w:tcPr>
                <w:p w14:paraId="15B8887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34" w:type="pct"/>
                  <w:noWrap w:val="0"/>
                  <w:vAlign w:val="center"/>
                </w:tcPr>
                <w:p w14:paraId="6FB91CF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300</w:t>
                  </w:r>
                </w:p>
              </w:tc>
              <w:tc>
                <w:tcPr>
                  <w:tcW w:w="565" w:type="pct"/>
                  <w:noWrap w:val="0"/>
                  <w:vAlign w:val="center"/>
                </w:tcPr>
                <w:p w14:paraId="178AE64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1.83</w:t>
                  </w:r>
                </w:p>
              </w:tc>
              <w:tc>
                <w:tcPr>
                  <w:tcW w:w="544" w:type="pct"/>
                  <w:noWrap w:val="0"/>
                  <w:vAlign w:val="center"/>
                </w:tcPr>
                <w:p w14:paraId="2CEB96C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550</w:t>
                  </w:r>
                </w:p>
              </w:tc>
              <w:tc>
                <w:tcPr>
                  <w:tcW w:w="627" w:type="pct"/>
                  <w:noWrap w:val="0"/>
                  <w:vAlign w:val="center"/>
                </w:tcPr>
                <w:p w14:paraId="4B6FC74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38" w:type="pct"/>
                  <w:noWrap w:val="0"/>
                  <w:vAlign w:val="center"/>
                </w:tcPr>
                <w:p w14:paraId="04B4356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13CF7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44" w:type="pct"/>
                  <w:noWrap w:val="0"/>
                  <w:vAlign w:val="center"/>
                </w:tcPr>
                <w:p w14:paraId="121A94F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罐体清洗</w:t>
                  </w:r>
                  <w:r>
                    <w:rPr>
                      <w:rFonts w:hint="default" w:ascii="Times New Roman" w:hAnsi="Times New Roman" w:cs="Times New Roman"/>
                      <w:color w:val="000000" w:themeColor="text1"/>
                      <w:szCs w:val="21"/>
                      <w:lang w:val="en-US" w:eastAsia="zh-CN"/>
                      <w14:textFill>
                        <w14:solidFill>
                          <w14:schemeClr w14:val="tx1"/>
                        </w14:solidFill>
                      </w14:textFill>
                    </w:rPr>
                    <w:t>水</w:t>
                  </w:r>
                </w:p>
              </w:tc>
              <w:tc>
                <w:tcPr>
                  <w:tcW w:w="637" w:type="pct"/>
                  <w:noWrap w:val="0"/>
                  <w:vAlign w:val="center"/>
                </w:tcPr>
                <w:p w14:paraId="1E84D4C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noWrap w:val="0"/>
                  <w:vAlign w:val="center"/>
                </w:tcPr>
                <w:p w14:paraId="51FBEAC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0.6</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r>
                    <w:rPr>
                      <w:rStyle w:val="66"/>
                      <w:color w:val="auto"/>
                      <w:lang w:val="en-US" w:eastAsia="zh-CN" w:bidi="ar"/>
                    </w:rPr>
                    <w:t>次</w:t>
                  </w:r>
                </w:p>
              </w:tc>
              <w:tc>
                <w:tcPr>
                  <w:tcW w:w="534" w:type="pct"/>
                  <w:noWrap w:val="0"/>
                  <w:vAlign w:val="center"/>
                </w:tcPr>
                <w:p w14:paraId="6C04309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w:t>
                  </w:r>
                  <w:r>
                    <w:rPr>
                      <w:rFonts w:hint="default" w:ascii="Times New Roman" w:hAnsi="Times New Roman" w:cs="Times New Roman"/>
                      <w:color w:val="000000" w:themeColor="text1"/>
                      <w:szCs w:val="21"/>
                      <w:lang w:val="en-US" w:eastAsia="zh-CN"/>
                      <w14:textFill>
                        <w14:solidFill>
                          <w14:schemeClr w14:val="tx1"/>
                        </w14:solidFill>
                      </w14:textFill>
                    </w:rPr>
                    <w:t>次</w:t>
                  </w:r>
                </w:p>
              </w:tc>
              <w:tc>
                <w:tcPr>
                  <w:tcW w:w="565" w:type="pct"/>
                  <w:noWrap w:val="0"/>
                  <w:vAlign w:val="center"/>
                </w:tcPr>
                <w:p w14:paraId="1DBD066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44" w:type="pct"/>
                  <w:noWrap w:val="0"/>
                  <w:vAlign w:val="center"/>
                </w:tcPr>
                <w:p w14:paraId="662D091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14.4</w:t>
                  </w:r>
                </w:p>
              </w:tc>
              <w:tc>
                <w:tcPr>
                  <w:tcW w:w="627" w:type="pct"/>
                  <w:noWrap w:val="0"/>
                  <w:vAlign w:val="center"/>
                </w:tcPr>
                <w:p w14:paraId="656853E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38" w:type="pct"/>
                  <w:noWrap w:val="0"/>
                  <w:vAlign w:val="center"/>
                </w:tcPr>
                <w:p w14:paraId="78AE27A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6DE6C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44" w:type="pct"/>
                  <w:noWrap w:val="0"/>
                  <w:vAlign w:val="center"/>
                </w:tcPr>
                <w:p w14:paraId="4CA25BC9">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发酵补充水</w:t>
                  </w:r>
                </w:p>
              </w:tc>
              <w:tc>
                <w:tcPr>
                  <w:tcW w:w="637" w:type="pct"/>
                  <w:noWrap w:val="0"/>
                  <w:vAlign w:val="center"/>
                </w:tcPr>
                <w:p w14:paraId="5E94E30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607" w:type="pct"/>
                  <w:noWrap w:val="0"/>
                  <w:vAlign w:val="center"/>
                </w:tcPr>
                <w:p w14:paraId="16CCB5CD">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534" w:type="pct"/>
                  <w:noWrap w:val="0"/>
                  <w:vAlign w:val="center"/>
                </w:tcPr>
                <w:p w14:paraId="6A892164">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300</w:t>
                  </w:r>
                </w:p>
              </w:tc>
              <w:tc>
                <w:tcPr>
                  <w:tcW w:w="565" w:type="pct"/>
                  <w:noWrap w:val="0"/>
                  <w:vAlign w:val="center"/>
                </w:tcPr>
                <w:p w14:paraId="00627254">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2.952</w:t>
                  </w:r>
                </w:p>
              </w:tc>
              <w:tc>
                <w:tcPr>
                  <w:tcW w:w="544" w:type="pct"/>
                  <w:noWrap w:val="0"/>
                  <w:vAlign w:val="center"/>
                </w:tcPr>
                <w:p w14:paraId="56F5DC3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885.6</w:t>
                  </w:r>
                </w:p>
              </w:tc>
              <w:tc>
                <w:tcPr>
                  <w:tcW w:w="627" w:type="pct"/>
                  <w:noWrap w:val="0"/>
                  <w:vAlign w:val="center"/>
                </w:tcPr>
                <w:p w14:paraId="0AF408ED">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38" w:type="pct"/>
                  <w:noWrap w:val="0"/>
                  <w:vAlign w:val="center"/>
                </w:tcPr>
                <w:p w14:paraId="1CEA5A81">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35A74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31" w:type="dxa"/>
                  <w:noWrap w:val="0"/>
                  <w:vAlign w:val="center"/>
                </w:tcPr>
                <w:p w14:paraId="334CD1C8">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生物滤池预洗水</w:t>
                  </w:r>
                </w:p>
              </w:tc>
              <w:tc>
                <w:tcPr>
                  <w:tcW w:w="1033" w:type="dxa"/>
                  <w:noWrap w:val="0"/>
                  <w:vAlign w:val="center"/>
                </w:tcPr>
                <w:p w14:paraId="681B3A1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984" w:type="dxa"/>
                  <w:noWrap w:val="0"/>
                  <w:vAlign w:val="center"/>
                </w:tcPr>
                <w:p w14:paraId="0ECDBE58">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866" w:type="dxa"/>
                  <w:noWrap w:val="0"/>
                  <w:vAlign w:val="center"/>
                </w:tcPr>
                <w:p w14:paraId="3BC415C6">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12次</w:t>
                  </w:r>
                </w:p>
              </w:tc>
              <w:tc>
                <w:tcPr>
                  <w:tcW w:w="917" w:type="dxa"/>
                  <w:noWrap w:val="0"/>
                  <w:vAlign w:val="center"/>
                </w:tcPr>
                <w:p w14:paraId="4D31C3F7">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883" w:type="dxa"/>
                  <w:noWrap w:val="0"/>
                  <w:vAlign w:val="center"/>
                </w:tcPr>
                <w:p w14:paraId="6B835197">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14.4</w:t>
                  </w:r>
                </w:p>
              </w:tc>
              <w:tc>
                <w:tcPr>
                  <w:tcW w:w="1017" w:type="dxa"/>
                  <w:noWrap w:val="0"/>
                  <w:vAlign w:val="center"/>
                </w:tcPr>
                <w:p w14:paraId="2C51414E">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w:t>
                  </w:r>
                </w:p>
              </w:tc>
              <w:tc>
                <w:tcPr>
                  <w:tcW w:w="872" w:type="dxa"/>
                  <w:noWrap w:val="0"/>
                  <w:vAlign w:val="center"/>
                </w:tcPr>
                <w:p w14:paraId="2E1A0EB6">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16.8</w:t>
                  </w:r>
                </w:p>
              </w:tc>
            </w:tr>
            <w:tr w14:paraId="09DCE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23" w:type="pct"/>
                  <w:gridSpan w:val="4"/>
                  <w:noWrap w:val="0"/>
                  <w:vAlign w:val="center"/>
                </w:tcPr>
                <w:p w14:paraId="6349684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合计</w:t>
                  </w:r>
                </w:p>
              </w:tc>
              <w:tc>
                <w:tcPr>
                  <w:tcW w:w="917" w:type="dxa"/>
                  <w:noWrap w:val="0"/>
                  <w:vAlign w:val="center"/>
                </w:tcPr>
                <w:p w14:paraId="7CECFF23">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6.232</w:t>
                  </w:r>
                </w:p>
              </w:tc>
              <w:tc>
                <w:tcPr>
                  <w:tcW w:w="883" w:type="dxa"/>
                  <w:noWrap w:val="0"/>
                  <w:vAlign w:val="center"/>
                </w:tcPr>
                <w:p w14:paraId="41393588">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1539.4</w:t>
                  </w:r>
                </w:p>
              </w:tc>
              <w:tc>
                <w:tcPr>
                  <w:tcW w:w="1017" w:type="dxa"/>
                  <w:noWrap w:val="0"/>
                  <w:vAlign w:val="center"/>
                </w:tcPr>
                <w:p w14:paraId="0497C535">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1.613</w:t>
                  </w:r>
                </w:p>
              </w:tc>
              <w:tc>
                <w:tcPr>
                  <w:tcW w:w="872" w:type="dxa"/>
                  <w:noWrap w:val="0"/>
                  <w:vAlign w:val="center"/>
                </w:tcPr>
                <w:p w14:paraId="3132ABBD">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80.7</w:t>
                  </w:r>
                </w:p>
              </w:tc>
            </w:tr>
          </w:tbl>
          <w:p w14:paraId="4A1267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themeColor="text1"/>
                <w:sz w:val="21"/>
                <w:szCs w:val="21"/>
                <w:lang w:val="en-US" w:eastAsia="zh-CN"/>
                <w14:textFill>
                  <w14:solidFill>
                    <w14:schemeClr w14:val="tx1"/>
                  </w14:solidFill>
                </w14:textFill>
              </w:rPr>
            </w:pPr>
            <w:r>
              <w:drawing>
                <wp:inline distT="0" distB="0" distL="114300" distR="114300">
                  <wp:extent cx="5161280" cy="3580130"/>
                  <wp:effectExtent l="0" t="0" r="1270" b="127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1"/>
                          <a:stretch>
                            <a:fillRect/>
                          </a:stretch>
                        </pic:blipFill>
                        <pic:spPr>
                          <a:xfrm>
                            <a:off x="0" y="0"/>
                            <a:ext cx="5161280" cy="3580130"/>
                          </a:xfrm>
                          <a:prstGeom prst="rect">
                            <a:avLst/>
                          </a:prstGeom>
                          <a:noFill/>
                          <a:ln>
                            <a:noFill/>
                          </a:ln>
                        </pic:spPr>
                      </pic:pic>
                    </a:graphicData>
                  </a:graphic>
                </wp:inline>
              </w:drawing>
            </w:r>
          </w:p>
          <w:p w14:paraId="0BC3B45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图2-1  水平衡图    单位：m</w:t>
            </w:r>
            <w:r>
              <w:rPr>
                <w:rFonts w:hint="default" w:ascii="Times New Roman" w:hAnsi="Times New Roman" w:cs="Times New Roman"/>
                <w:b/>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color w:val="000000" w:themeColor="text1"/>
                <w:sz w:val="21"/>
                <w:szCs w:val="21"/>
                <w:lang w:val="en-US" w:eastAsia="zh-CN"/>
                <w14:textFill>
                  <w14:solidFill>
                    <w14:schemeClr w14:val="tx1"/>
                  </w14:solidFill>
                </w14:textFill>
              </w:rPr>
              <w:t>/</w:t>
            </w:r>
            <w:r>
              <w:rPr>
                <w:rFonts w:hint="eastAsia" w:cs="Times New Roman"/>
                <w:b/>
                <w:color w:val="000000" w:themeColor="text1"/>
                <w:sz w:val="21"/>
                <w:szCs w:val="21"/>
                <w:lang w:val="en-US" w:eastAsia="zh-CN"/>
                <w14:textFill>
                  <w14:solidFill>
                    <w14:schemeClr w14:val="tx1"/>
                  </w14:solidFill>
                </w14:textFill>
              </w:rPr>
              <w:t>a</w:t>
            </w:r>
          </w:p>
          <w:p w14:paraId="76233988">
            <w:pPr>
              <w:widowControl/>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、供电</w:t>
            </w:r>
          </w:p>
          <w:p w14:paraId="19F406A1">
            <w:pPr>
              <w:widowControl/>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项目用电由</w:t>
            </w:r>
            <w:r>
              <w:rPr>
                <w:rFonts w:hint="eastAsia" w:cs="Times New Roman"/>
                <w:color w:val="000000" w:themeColor="text1"/>
                <w:sz w:val="24"/>
                <w:szCs w:val="24"/>
                <w:lang w:eastAsia="zh-CN"/>
                <w14:textFill>
                  <w14:solidFill>
                    <w14:schemeClr w14:val="tx1"/>
                  </w14:solidFill>
                </w14:textFill>
              </w:rPr>
              <w:t>东风村</w:t>
            </w:r>
            <w:r>
              <w:rPr>
                <w:rFonts w:hint="default" w:ascii="Times New Roman" w:hAnsi="Times New Roman" w:eastAsia="宋体" w:cs="Times New Roman"/>
                <w:color w:val="000000" w:themeColor="text1"/>
                <w:sz w:val="24"/>
                <w:szCs w:val="24"/>
                <w14:textFill>
                  <w14:solidFill>
                    <w14:schemeClr w14:val="tx1"/>
                  </w14:solidFill>
                </w14:textFill>
              </w:rPr>
              <w:t>供电系统供给，能满足项目生产、生活的要求。</w:t>
            </w:r>
          </w:p>
          <w:p w14:paraId="7B645C0B">
            <w:pPr>
              <w:widowControl/>
              <w:autoSpaceDE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、平面布置合理性</w:t>
            </w:r>
          </w:p>
          <w:p w14:paraId="79CB68B9">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总平面布置原则：结合场地现状条件，合理布置建、构筑物，使工艺流程合理，管线短捷，人货流畅。</w:t>
            </w:r>
          </w:p>
          <w:p w14:paraId="53505E5C">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建设单位建设两间生产车间</w:t>
            </w:r>
            <w:r>
              <w:rPr>
                <w:rFonts w:hint="eastAsia" w:cs="Times New Roman"/>
                <w:color w:val="000000" w:themeColor="text1"/>
                <w:sz w:val="24"/>
                <w:szCs w:val="24"/>
                <w:lang w:val="en-US" w:eastAsia="zh-CN"/>
                <w14:textFill>
                  <w14:solidFill>
                    <w14:schemeClr w14:val="tx1"/>
                  </w14:solidFill>
                </w14:textFill>
              </w:rPr>
              <w:t>，一间菌剂扩繁间</w:t>
            </w:r>
            <w:r>
              <w:rPr>
                <w:rFonts w:hint="default" w:ascii="Times New Roman" w:hAnsi="Times New Roman" w:cs="Times New Roman"/>
                <w:color w:val="000000" w:themeColor="text1"/>
                <w:sz w:val="24"/>
                <w:szCs w:val="24"/>
                <w:lang w:val="en-US" w:eastAsia="zh-CN"/>
                <w14:textFill>
                  <w14:solidFill>
                    <w14:schemeClr w14:val="tx1"/>
                  </w14:solidFill>
                </w14:textFill>
              </w:rPr>
              <w:t>，其中发酵车间设置在项目</w:t>
            </w:r>
            <w:r>
              <w:rPr>
                <w:rFonts w:hint="eastAsia" w:cs="Times New Roman"/>
                <w:color w:val="000000" w:themeColor="text1"/>
                <w:sz w:val="24"/>
                <w:szCs w:val="24"/>
                <w:lang w:val="en-US" w:eastAsia="zh-CN"/>
                <w14:textFill>
                  <w14:solidFill>
                    <w14:schemeClr w14:val="tx1"/>
                  </w14:solidFill>
                </w14:textFill>
              </w:rPr>
              <w:t>厂区</w:t>
            </w:r>
            <w:r>
              <w:rPr>
                <w:rFonts w:hint="default" w:ascii="Times New Roman" w:hAnsi="Times New Roman" w:cs="Times New Roman"/>
                <w:color w:val="000000" w:themeColor="text1"/>
                <w:sz w:val="24"/>
                <w:szCs w:val="24"/>
                <w:lang w:val="en-US" w:eastAsia="zh-CN"/>
                <w14:textFill>
                  <w14:solidFill>
                    <w14:schemeClr w14:val="tx1"/>
                  </w14:solidFill>
                </w14:textFill>
              </w:rPr>
              <w:t>东南侧，生产车间内</w:t>
            </w:r>
            <w:r>
              <w:rPr>
                <w:rFonts w:hint="eastAsia" w:cs="Times New Roman"/>
                <w:color w:val="000000" w:themeColor="text1"/>
                <w:sz w:val="24"/>
                <w:szCs w:val="24"/>
                <w:lang w:val="en-US" w:eastAsia="zh-CN"/>
                <w14:textFill>
                  <w14:solidFill>
                    <w14:schemeClr w14:val="tx1"/>
                  </w14:solidFill>
                </w14:textFill>
              </w:rPr>
              <w:t>生产</w:t>
            </w:r>
            <w:r>
              <w:rPr>
                <w:rFonts w:hint="default" w:ascii="Times New Roman" w:hAnsi="Times New Roman" w:cs="Times New Roman"/>
                <w:color w:val="000000" w:themeColor="text1"/>
                <w:sz w:val="24"/>
                <w:szCs w:val="24"/>
                <w:lang w:val="en-US" w:eastAsia="zh-CN"/>
                <w14:textFill>
                  <w14:solidFill>
                    <w14:schemeClr w14:val="tx1"/>
                  </w14:solidFill>
                </w14:textFill>
              </w:rPr>
              <w:t>噪声设备设置在车间</w:t>
            </w:r>
            <w:r>
              <w:rPr>
                <w:rFonts w:hint="eastAsia" w:cs="Times New Roman"/>
                <w:color w:val="000000" w:themeColor="text1"/>
                <w:sz w:val="24"/>
                <w:szCs w:val="24"/>
                <w:lang w:val="en-US" w:eastAsia="zh-CN"/>
                <w14:textFill>
                  <w14:solidFill>
                    <w14:schemeClr w14:val="tx1"/>
                  </w14:solidFill>
                </w14:textFill>
              </w:rPr>
              <w:t>东侧、</w:t>
            </w:r>
            <w:r>
              <w:rPr>
                <w:rFonts w:hint="default" w:ascii="Times New Roman" w:hAnsi="Times New Roman" w:cs="Times New Roman"/>
                <w:color w:val="000000" w:themeColor="text1"/>
                <w:sz w:val="24"/>
                <w:szCs w:val="24"/>
                <w:lang w:val="en-US" w:eastAsia="zh-CN"/>
                <w14:textFill>
                  <w14:solidFill>
                    <w14:schemeClr w14:val="tx1"/>
                  </w14:solidFill>
                </w14:textFill>
              </w:rPr>
              <w:t>南侧</w:t>
            </w:r>
            <w:r>
              <w:rPr>
                <w:rFonts w:hint="eastAsia" w:cs="Times New Roman"/>
                <w:color w:val="000000" w:themeColor="text1"/>
                <w:sz w:val="24"/>
                <w:szCs w:val="24"/>
                <w:lang w:val="en-US" w:eastAsia="zh-CN"/>
                <w14:textFill>
                  <w14:solidFill>
                    <w14:schemeClr w14:val="tx1"/>
                  </w14:solidFill>
                </w14:textFill>
              </w:rPr>
              <w:t>区域。本项目与东风磷肥厂共用一个</w:t>
            </w:r>
            <w:r>
              <w:rPr>
                <w:rFonts w:hint="default" w:ascii="Times New Roman" w:hAnsi="Times New Roman" w:cs="Times New Roman"/>
                <w:color w:val="000000" w:themeColor="text1"/>
                <w:sz w:val="24"/>
                <w:szCs w:val="24"/>
                <w:lang w:val="en-US" w:eastAsia="zh-CN"/>
                <w14:textFill>
                  <w14:solidFill>
                    <w14:schemeClr w14:val="tx1"/>
                  </w14:solidFill>
                </w14:textFill>
              </w:rPr>
              <w:t>厂区</w:t>
            </w:r>
            <w:r>
              <w:rPr>
                <w:rFonts w:hint="eastAsia" w:cs="Times New Roman"/>
                <w:color w:val="000000" w:themeColor="text1"/>
                <w:sz w:val="24"/>
                <w:szCs w:val="24"/>
                <w:lang w:val="en-US" w:eastAsia="zh-CN"/>
                <w14:textFill>
                  <w14:solidFill>
                    <w14:schemeClr w14:val="tx1"/>
                  </w14:solidFill>
                </w14:textFill>
              </w:rPr>
              <w:t>，其厂区</w:t>
            </w:r>
            <w:r>
              <w:rPr>
                <w:rFonts w:hint="default" w:ascii="Times New Roman" w:hAnsi="Times New Roman" w:cs="Times New Roman"/>
                <w:color w:val="000000" w:themeColor="text1"/>
                <w:sz w:val="24"/>
                <w:szCs w:val="24"/>
                <w:lang w:val="en-US" w:eastAsia="zh-CN"/>
                <w14:textFill>
                  <w14:solidFill>
                    <w14:schemeClr w14:val="tx1"/>
                  </w14:solidFill>
                </w14:textFill>
              </w:rPr>
              <w:t>大门设置</w:t>
            </w:r>
            <w:r>
              <w:rPr>
                <w:rFonts w:hint="eastAsia" w:cs="Times New Roman"/>
                <w:color w:val="000000" w:themeColor="text1"/>
                <w:sz w:val="24"/>
                <w:szCs w:val="24"/>
                <w:lang w:val="en-US" w:eastAsia="zh-CN"/>
                <w14:textFill>
                  <w14:solidFill>
                    <w14:schemeClr w14:val="tx1"/>
                  </w14:solidFill>
                </w14:textFill>
              </w:rPr>
              <w:t>厂界</w:t>
            </w:r>
            <w:r>
              <w:rPr>
                <w:rFonts w:hint="default" w:ascii="Times New Roman" w:hAnsi="Times New Roman" w:cs="Times New Roman"/>
                <w:color w:val="000000" w:themeColor="text1"/>
                <w:sz w:val="24"/>
                <w:szCs w:val="24"/>
                <w:lang w:val="en-US" w:eastAsia="zh-CN"/>
                <w14:textFill>
                  <w14:solidFill>
                    <w14:schemeClr w14:val="tx1"/>
                  </w14:solidFill>
                </w14:textFill>
              </w:rPr>
              <w:t>西侧</w:t>
            </w:r>
            <w:r>
              <w:rPr>
                <w:rFonts w:hint="eastAsia" w:cs="Times New Roman"/>
                <w:color w:val="000000" w:themeColor="text1"/>
                <w:sz w:val="24"/>
                <w:szCs w:val="24"/>
                <w:lang w:val="en-US" w:eastAsia="zh-CN"/>
                <w14:textFill>
                  <w14:solidFill>
                    <w14:schemeClr w14:val="tx1"/>
                  </w14:solidFill>
                </w14:textFill>
              </w:rPr>
              <w:t>链接通行道路</w:t>
            </w:r>
            <w:r>
              <w:rPr>
                <w:rFonts w:hint="default" w:ascii="Times New Roman" w:hAnsi="Times New Roman" w:cs="Times New Roman"/>
                <w:color w:val="000000" w:themeColor="text1"/>
                <w:sz w:val="24"/>
                <w:szCs w:val="24"/>
                <w:lang w:val="en-US" w:eastAsia="zh-CN"/>
                <w14:textFill>
                  <w14:solidFill>
                    <w14:schemeClr w14:val="tx1"/>
                  </w14:solidFill>
                </w14:textFill>
              </w:rPr>
              <w:t>，便于运输。车间内物料运输通过皮带机进行运输，减少车辆运输的污染。项目区</w:t>
            </w:r>
            <w:r>
              <w:rPr>
                <w:rFonts w:hint="default" w:ascii="Times New Roman" w:hAnsi="Times New Roman" w:eastAsia="宋体" w:cs="Times New Roman"/>
                <w:color w:val="000000" w:themeColor="text1"/>
                <w:sz w:val="24"/>
                <w:szCs w:val="24"/>
                <w14:textFill>
                  <w14:solidFill>
                    <w14:schemeClr w14:val="tx1"/>
                  </w14:solidFill>
                </w14:textFill>
              </w:rPr>
              <w:t>内供水、供电、排水基础设施配套齐全。总平面布置基本合理。项目平面</w:t>
            </w:r>
            <w:r>
              <w:rPr>
                <w:rFonts w:hint="default" w:ascii="Times New Roman" w:hAnsi="Times New Roman" w:eastAsia="宋体" w:cs="Times New Roman"/>
                <w:color w:val="000000" w:themeColor="text1"/>
                <w:sz w:val="24"/>
                <w:szCs w:val="24"/>
                <w:lang w:val="en-GB"/>
                <w14:textFill>
                  <w14:solidFill>
                    <w14:schemeClr w14:val="tx1"/>
                  </w14:solidFill>
                </w14:textFill>
              </w:rPr>
              <w:t>布置图见附图2。</w:t>
            </w:r>
          </w:p>
          <w:p w14:paraId="4C6205E4">
            <w:pPr>
              <w:widowControl/>
              <w:numPr>
                <w:ilvl w:val="0"/>
                <w:numId w:val="5"/>
              </w:num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劳动定员及工作制度</w:t>
            </w:r>
          </w:p>
          <w:p w14:paraId="6E294709">
            <w:pPr>
              <w:widowControl/>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劳动定员：本项目劳动定员</w:t>
            </w:r>
            <w:r>
              <w:rPr>
                <w:rFonts w:hint="default"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厂区不提供食宿</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人员从附近招募，员工如厕废水经</w:t>
            </w:r>
            <w:r>
              <w:rPr>
                <w:rFonts w:hint="eastAsia" w:cs="Times New Roman"/>
                <w:color w:val="000000" w:themeColor="text1"/>
                <w:sz w:val="24"/>
                <w:szCs w:val="24"/>
                <w:lang w:val="en-US" w:eastAsia="zh-CN"/>
                <w14:textFill>
                  <w14:solidFill>
                    <w14:schemeClr w14:val="tx1"/>
                  </w14:solidFill>
                </w14:textFill>
              </w:rPr>
              <w:t>化粪池</w:t>
            </w:r>
            <w:r>
              <w:rPr>
                <w:rFonts w:hint="default" w:ascii="Times New Roman" w:hAnsi="Times New Roman" w:cs="Times New Roman"/>
                <w:color w:val="000000" w:themeColor="text1"/>
                <w:sz w:val="24"/>
                <w:szCs w:val="24"/>
                <w:lang w:val="en-US" w:eastAsia="zh-CN"/>
                <w14:textFill>
                  <w14:solidFill>
                    <w14:schemeClr w14:val="tx1"/>
                  </w14:solidFill>
                </w14:textFill>
              </w:rPr>
              <w:t>处理后拉运</w:t>
            </w:r>
            <w:r>
              <w:rPr>
                <w:rFonts w:hint="eastAsia" w:cs="Times New Roman"/>
                <w:color w:val="000000" w:themeColor="text1"/>
                <w:sz w:val="24"/>
                <w:szCs w:val="24"/>
                <w:lang w:val="en-US" w:eastAsia="zh-CN"/>
                <w14:textFill>
                  <w14:solidFill>
                    <w14:schemeClr w14:val="tx1"/>
                  </w14:solidFill>
                </w14:textFill>
              </w:rPr>
              <w:t>堆肥</w:t>
            </w:r>
            <w:r>
              <w:rPr>
                <w:rFonts w:hint="default" w:ascii="Times New Roman" w:hAnsi="Times New Roman" w:eastAsia="宋体" w:cs="Times New Roman"/>
                <w:color w:val="000000" w:themeColor="text1"/>
                <w:sz w:val="24"/>
                <w:szCs w:val="24"/>
                <w14:textFill>
                  <w14:solidFill>
                    <w14:schemeClr w14:val="tx1"/>
                  </w14:solidFill>
                </w14:textFill>
              </w:rPr>
              <w:t>。</w:t>
            </w:r>
          </w:p>
          <w:p w14:paraId="5461AD86">
            <w:pPr>
              <w:widowControl/>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工作制度：本项目年工作</w:t>
            </w:r>
            <w:r>
              <w:rPr>
                <w:rFonts w:hint="default" w:ascii="Times New Roman" w:hAnsi="Times New Roman" w:cs="Times New Roman"/>
                <w:color w:val="000000" w:themeColor="text1"/>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14:textFill>
                  <w14:solidFill>
                    <w14:schemeClr w14:val="tx1"/>
                  </w14:solidFill>
                </w14:textFill>
              </w:rPr>
              <w:t>天，</w:t>
            </w:r>
            <w:r>
              <w:rPr>
                <w:rFonts w:hint="eastAsia" w:cs="Times New Roman"/>
                <w:color w:val="000000" w:themeColor="text1"/>
                <w:sz w:val="24"/>
                <w:szCs w:val="24"/>
                <w:lang w:val="en-US" w:eastAsia="zh-CN"/>
                <w14:textFill>
                  <w14:solidFill>
                    <w14:schemeClr w14:val="tx1"/>
                  </w14:solidFill>
                </w14:textFill>
              </w:rPr>
              <w:t>发酵工序每天24h，其他工序</w:t>
            </w:r>
            <w:r>
              <w:rPr>
                <w:rFonts w:hint="default" w:ascii="Times New Roman" w:hAnsi="Times New Roman" w:eastAsia="宋体" w:cs="Times New Roman"/>
                <w:color w:val="000000" w:themeColor="text1"/>
                <w:sz w:val="24"/>
                <w:szCs w:val="24"/>
                <w14:textFill>
                  <w14:solidFill>
                    <w14:schemeClr w14:val="tx1"/>
                  </w14:solidFill>
                </w14:textFill>
              </w:rPr>
              <w:t>每天工作8小时</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酵周期为</w:t>
            </w:r>
            <w:r>
              <w:rPr>
                <w:rFonts w:hint="eastAsia"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切断、粉碎时间</w:t>
            </w:r>
            <w:r>
              <w:rPr>
                <w:rFonts w:hint="default" w:ascii="Times New Roman" w:hAnsi="Times New Roman" w:cs="Times New Roman"/>
                <w:color w:val="000000" w:themeColor="text1"/>
                <w:sz w:val="24"/>
                <w:szCs w:val="24"/>
                <w:lang w:val="en-US" w:eastAsia="zh-CN"/>
                <w14:textFill>
                  <w14:solidFill>
                    <w14:schemeClr w14:val="tx1"/>
                  </w14:solidFill>
                </w14:textFill>
              </w:rPr>
              <w:t>有效工作时间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约为</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00h/a</w:t>
            </w:r>
            <w:r>
              <w:rPr>
                <w:rFonts w:hint="eastAsia" w:cs="Times New Roman"/>
                <w:color w:val="000000" w:themeColor="text1"/>
                <w:sz w:val="24"/>
                <w:szCs w:val="24"/>
                <w:lang w:val="en-US" w:eastAsia="zh-CN"/>
                <w14:textFill>
                  <w14:solidFill>
                    <w14:schemeClr w14:val="tx1"/>
                  </w14:solidFill>
                </w14:textFill>
              </w:rPr>
              <w:t>，烘干有效工作时间为900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h/a</w:t>
            </w: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14:paraId="778C3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3" w:hRule="atLeast"/>
          <w:jc w:val="center"/>
        </w:trPr>
        <w:tc>
          <w:tcPr>
            <w:tcW w:w="708" w:type="dxa"/>
            <w:noWrap w:val="0"/>
            <w:vAlign w:val="center"/>
          </w:tcPr>
          <w:p w14:paraId="5DCC8F8A">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工艺流程和产排污环节</w:t>
            </w:r>
          </w:p>
        </w:tc>
        <w:tc>
          <w:tcPr>
            <w:tcW w:w="8352" w:type="dxa"/>
            <w:noWrap w:val="0"/>
            <w:vAlign w:val="top"/>
          </w:tcPr>
          <w:p w14:paraId="0514DD02">
            <w:pPr>
              <w:keepNext/>
              <w:keepLines/>
              <w:widowControl/>
              <w:adjustRightInd w:val="0"/>
              <w:snapToGrid w:val="0"/>
              <w:spacing w:line="360" w:lineRule="auto"/>
              <w:jc w:val="left"/>
              <w:outlineLvl w:val="0"/>
              <w:rPr>
                <w:rFonts w:hint="default" w:ascii="Times New Roman" w:hAnsi="Times New Roman" w:eastAsia="宋体" w:cs="Times New Roman"/>
                <w:bCs/>
                <w:color w:val="000000" w:themeColor="text1"/>
                <w:kern w:val="44"/>
                <w:sz w:val="24"/>
                <w:szCs w:val="24"/>
                <w14:textFill>
                  <w14:solidFill>
                    <w14:schemeClr w14:val="tx1"/>
                  </w14:solidFill>
                </w14:textFill>
              </w:rPr>
            </w:pPr>
            <w:r>
              <w:rPr>
                <w:rFonts w:hint="default" w:ascii="Times New Roman" w:hAnsi="Times New Roman" w:eastAsia="宋体" w:cs="Times New Roman"/>
                <w:bCs/>
                <w:color w:val="000000" w:themeColor="text1"/>
                <w:kern w:val="44"/>
                <w:sz w:val="24"/>
                <w:szCs w:val="24"/>
                <w14:textFill>
                  <w14:solidFill>
                    <w14:schemeClr w14:val="tx1"/>
                  </w14:solidFill>
                </w14:textFill>
              </w:rPr>
              <w:t>1、生产工艺流程图</w:t>
            </w:r>
          </w:p>
          <w:p w14:paraId="09F9AD43">
            <w:pPr>
              <w:numPr>
                <w:ilvl w:val="0"/>
                <w:numId w:val="6"/>
              </w:numPr>
              <w:rPr>
                <w:rFonts w:hint="default"/>
                <w:color w:val="000000" w:themeColor="text1"/>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生产工艺及产污环节：</w:t>
            </w:r>
          </w:p>
          <w:p w14:paraId="0D557E74">
            <w:pPr>
              <w:keepNext/>
              <w:keepLines/>
              <w:widowControl/>
              <w:adjustRightInd w:val="0"/>
              <w:snapToGrid w:val="0"/>
              <w:spacing w:line="360" w:lineRule="auto"/>
              <w:jc w:val="center"/>
              <w:outlineLvl w:val="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drawing>
                <wp:inline distT="0" distB="0" distL="114300" distR="114300">
                  <wp:extent cx="4004310" cy="6705600"/>
                  <wp:effectExtent l="0" t="0" r="0" b="0"/>
                  <wp:docPr id="83" name="图片 83"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工艺流程图"/>
                          <pic:cNvPicPr>
                            <a:picLocks noChangeAspect="1"/>
                          </pic:cNvPicPr>
                        </pic:nvPicPr>
                        <pic:blipFill>
                          <a:blip r:embed="rId12"/>
                          <a:srcRect b="19684"/>
                          <a:stretch>
                            <a:fillRect/>
                          </a:stretch>
                        </pic:blipFill>
                        <pic:spPr>
                          <a:xfrm>
                            <a:off x="0" y="0"/>
                            <a:ext cx="4004310" cy="6705600"/>
                          </a:xfrm>
                          <a:prstGeom prst="rect">
                            <a:avLst/>
                          </a:prstGeom>
                        </pic:spPr>
                      </pic:pic>
                    </a:graphicData>
                  </a:graphic>
                </wp:inline>
              </w:drawing>
            </w:r>
          </w:p>
          <w:p w14:paraId="00128F04">
            <w:pPr>
              <w:keepNext/>
              <w:keepLines/>
              <w:widowControl/>
              <w:adjustRightInd w:val="0"/>
              <w:snapToGrid w:val="0"/>
              <w:spacing w:line="360" w:lineRule="auto"/>
              <w:jc w:val="center"/>
              <w:outlineLvl w:val="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4124325</wp:posOffset>
                      </wp:positionH>
                      <wp:positionV relativeFrom="paragraph">
                        <wp:posOffset>3958590</wp:posOffset>
                      </wp:positionV>
                      <wp:extent cx="463550" cy="2794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63550" cy="279400"/>
                              </a:xfrm>
                              <a:prstGeom prst="rect">
                                <a:avLst/>
                              </a:prstGeom>
                              <a:noFill/>
                              <a:ln>
                                <a:noFill/>
                              </a:ln>
                            </wps:spPr>
                            <wps:txbx>
                              <w:txbxContent>
                                <w:p w14:paraId="63717DF9">
                                  <w:pPr>
                                    <w:rPr>
                                      <w:color w:val="FF0000"/>
                                    </w:rPr>
                                  </w:pPr>
                                </w:p>
                              </w:txbxContent>
                            </wps:txbx>
                            <wps:bodyPr upright="1"/>
                          </wps:wsp>
                        </a:graphicData>
                      </a:graphic>
                    </wp:anchor>
                  </w:drawing>
                </mc:Choice>
                <mc:Fallback>
                  <w:pict>
                    <v:shape id="_x0000_s1026" o:spid="_x0000_s1026" o:spt="202" type="#_x0000_t202" style="position:absolute;left:0pt;margin-left:324.75pt;margin-top:311.7pt;height:22pt;width:36.5pt;z-index:251659264;mso-width-relative:page;mso-height-relative:page;" filled="f" stroked="f" coordsize="21600,21600" o:gfxdata="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QdtG3Y&#10;AAAACwEAAA8AAAAAAAAAAQAgAAAAIgAAAGRycy9kb3ducmV2LnhtbFBLAQIUABQAAAAIAIdO4kCY&#10;umecrgEAAE0DAAAOAAAAAAAAAAEAIAAAACcBAABkcnMvZTJvRG9jLnhtbFBLBQYAAAAABgAGAFkB&#10;AABHBQAAAAA=&#10;">
                      <v:fill on="f" focussize="0,0"/>
                      <v:stroke on="f"/>
                      <v:imagedata o:title=""/>
                      <o:lock v:ext="edit" aspectratio="f"/>
                      <v:textbox>
                        <w:txbxContent>
                          <w:p w14:paraId="63717DF9">
                            <w:pPr>
                              <w:rPr>
                                <w:color w:val="FF0000"/>
                              </w:rPr>
                            </w:pPr>
                          </w:p>
                        </w:txbxContent>
                      </v:textbox>
                    </v:shape>
                  </w:pict>
                </mc:Fallback>
              </mc:AlternateContent>
            </w:r>
            <w:r>
              <w:rPr>
                <w:rFonts w:hint="default" w:ascii="Times New Roman" w:hAnsi="Times New Roman" w:eastAsia="宋体" w:cs="Times New Roman"/>
                <w:b/>
                <w:color w:val="000000" w:themeColor="text1"/>
                <w:sz w:val="24"/>
                <w:szCs w:val="24"/>
                <w14:textFill>
                  <w14:solidFill>
                    <w14:schemeClr w14:val="tx1"/>
                  </w14:solidFill>
                </w14:textFill>
              </w:rPr>
              <w:t>图2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工艺流程及产污环节示意图</w:t>
            </w:r>
          </w:p>
          <w:p w14:paraId="2460EAFC">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工艺流程简述：</w:t>
            </w:r>
          </w:p>
          <w:p w14:paraId="2F513836">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切断：</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将秸秆用切割机切成</w:t>
            </w:r>
            <w:r>
              <w:rPr>
                <w:rFonts w:hint="eastAsia" w:cs="Times New Roman"/>
                <w:b w:val="0"/>
                <w:bCs/>
                <w:color w:val="000000" w:themeColor="text1"/>
                <w:kern w:val="2"/>
                <w:sz w:val="24"/>
                <w:szCs w:val="24"/>
                <w:lang w:val="en-US" w:eastAsia="zh-CN" w:bidi="ar-SA"/>
                <w14:textFill>
                  <w14:solidFill>
                    <w14:schemeClr w14:val="tx1"/>
                  </w14:solidFill>
                </w14:textFill>
              </w:rPr>
              <w:t>2—3</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厘米的长度作辅料备用，切断过程中产生粉尘G1和噪声N1。加入辅料（秸秆）的目的是调节畜禽粪便的含水量和碳氮比，增加发酵物的透气性。</w:t>
            </w:r>
          </w:p>
          <w:p w14:paraId="32D5478B">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val="0"/>
                <w:bCs/>
                <w:color w:val="auto"/>
                <w:kern w:val="2"/>
                <w:sz w:val="24"/>
                <w:szCs w:val="24"/>
                <w:lang w:val="en-US" w:eastAsia="zh-CN" w:bidi="ar-SA"/>
              </w:rPr>
            </w:pPr>
            <w:r>
              <w:rPr>
                <w:rFonts w:hint="eastAsia" w:cs="Times New Roman"/>
                <w:b/>
                <w:bCs w:val="0"/>
                <w:color w:val="000000" w:themeColor="text1"/>
                <w:kern w:val="2"/>
                <w:sz w:val="24"/>
                <w:szCs w:val="24"/>
                <w:lang w:val="en-US" w:eastAsia="zh-CN" w:bidi="ar-SA"/>
                <w14:textFill>
                  <w14:solidFill>
                    <w14:schemeClr w14:val="tx1"/>
                  </w14:solidFill>
                </w14:textFill>
              </w:rPr>
              <w:t>生物菌（成品）扩繁：</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将营养剂</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益生菌原液</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（成品）、经过灭菌的水按照1:1:5的比例，投放入封闭式扩繁发酵罐内混合进行发酵，保持罐体温度在30℃-35℃（</w:t>
            </w:r>
            <w:r>
              <w:rPr>
                <w:rFonts w:hint="eastAsia" w:cs="Times New Roman"/>
                <w:b w:val="0"/>
                <w:bCs/>
                <w:color w:val="auto"/>
                <w:kern w:val="2"/>
                <w:sz w:val="24"/>
                <w:szCs w:val="24"/>
                <w:lang w:val="en-US" w:eastAsia="zh-CN" w:bidi="ar-SA"/>
              </w:rPr>
              <w:t>在气温较低时，通过电加热保持罐体温度），发酵过程持续144h。发酵过程会产生异味。</w:t>
            </w:r>
          </w:p>
          <w:p w14:paraId="661F513D">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混合：</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将畜禽粪便</w:t>
            </w:r>
            <w:r>
              <w:rPr>
                <w:rFonts w:hint="eastAsia" w:cs="Times New Roman"/>
                <w:b w:val="0"/>
                <w:bCs/>
                <w:color w:val="000000" w:themeColor="text1"/>
                <w:kern w:val="2"/>
                <w:sz w:val="24"/>
                <w:szCs w:val="24"/>
                <w:lang w:val="en-US" w:eastAsia="zh-CN" w:bidi="ar-SA"/>
                <w14:textFill>
                  <w14:solidFill>
                    <w14:schemeClr w14:val="tx1"/>
                  </w14:solidFill>
                </w14:textFill>
              </w:rPr>
              <w:t>（含水率约为50%）</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、生物有益菌按一定比例混合，同时加入处理过的秸秆一起搅拌，该过程会产生一定恶臭气体G2、噪声N2和废包装袋S1。</w:t>
            </w:r>
          </w:p>
          <w:p w14:paraId="000DF259">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发酵、翻抛：</w:t>
            </w:r>
          </w:p>
          <w:p w14:paraId="1FDB3DF8">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混合后放置五小时，堆成大堆状进行好氧堆肥发酵，发酵第二天开始测温，料堆温度达到50摄氏度以上时翻抛，做到上下均匀，当温度达到60</w:t>
            </w:r>
            <w:r>
              <w:rPr>
                <w:rFonts w:hint="eastAsia"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70摄氏度时，每3</w:t>
            </w:r>
            <w:r>
              <w:rPr>
                <w:rFonts w:hint="eastAsia"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4天翻堆一次，将料堆温度控制在50</w:t>
            </w:r>
            <w:r>
              <w:rPr>
                <w:rFonts w:hint="eastAsia"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60摄氏度，经过多次翻抛，温度下降至40摄氏度以下，并且不再上升，发酵至料堆颜色变深，手感疏松，即发酵完全</w:t>
            </w:r>
            <w:r>
              <w:rPr>
                <w:rFonts w:hint="eastAsia" w:cs="Times New Roman"/>
                <w:b w:val="0"/>
                <w:bCs/>
                <w:color w:val="000000" w:themeColor="text1"/>
                <w:kern w:val="2"/>
                <w:sz w:val="24"/>
                <w:szCs w:val="24"/>
                <w:lang w:val="en-US" w:eastAsia="zh-CN" w:bidi="ar-SA"/>
                <w14:textFill>
                  <w14:solidFill>
                    <w14:schemeClr w14:val="tx1"/>
                  </w14:solidFill>
                </w14:textFill>
              </w:rPr>
              <w:t>，发酵完全后含水率约为30%</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。翻抛的过程是为了提供氧气。此阶段要求发酵池采取严格的防渗措施，此过程会产生恶臭气体 G3</w:t>
            </w:r>
            <w:r>
              <w:rPr>
                <w:rFonts w:hint="eastAsia" w:cs="Times New Roman"/>
                <w:b w:val="0"/>
                <w:bCs/>
                <w:color w:val="000000" w:themeColor="text1"/>
                <w:kern w:val="2"/>
                <w:sz w:val="24"/>
                <w:szCs w:val="24"/>
                <w:lang w:val="en-US" w:eastAsia="zh-CN" w:bidi="ar-SA"/>
                <w14:textFill>
                  <w14:solidFill>
                    <w14:schemeClr w14:val="tx1"/>
                  </w14:solidFill>
                </w14:textFill>
              </w:rPr>
              <w:t>和极少量</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渗滤液W1。</w:t>
            </w:r>
          </w:p>
          <w:p w14:paraId="571B8037">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筛分：</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发酵后的物料经滚筒筛筛选，去除杂质S2</w:t>
            </w:r>
            <w:r>
              <w:rPr>
                <w:rFonts w:hint="eastAsia" w:cs="Times New Roman"/>
                <w:b w:val="0"/>
                <w:bCs/>
                <w:color w:val="000000" w:themeColor="text1"/>
                <w:kern w:val="2"/>
                <w:sz w:val="24"/>
                <w:szCs w:val="24"/>
                <w:lang w:val="en-US" w:eastAsia="zh-CN" w:bidi="ar-SA"/>
                <w14:textFill>
                  <w14:solidFill>
                    <w14:schemeClr w14:val="tx1"/>
                  </w14:solidFill>
                </w14:textFill>
              </w:rPr>
              <w:t>，同时筛出大颗粒进行粉碎</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，此过程伴有一定的机械噪声N3和粉尘G4。</w:t>
            </w:r>
          </w:p>
          <w:p w14:paraId="5DC3F42F">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粉碎：</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用粉碎机</w:t>
            </w:r>
            <w:r>
              <w:rPr>
                <w:rFonts w:hint="eastAsia" w:cs="Times New Roman"/>
                <w:b w:val="0"/>
                <w:bCs/>
                <w:color w:val="000000" w:themeColor="text1"/>
                <w:kern w:val="2"/>
                <w:sz w:val="24"/>
                <w:szCs w:val="24"/>
                <w:lang w:val="en-US" w:eastAsia="zh-CN" w:bidi="ar-SA"/>
                <w14:textFill>
                  <w14:solidFill>
                    <w14:schemeClr w14:val="tx1"/>
                  </w14:solidFill>
                </w14:textFill>
              </w:rPr>
              <w:t>对</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物料进行粉碎细化，粉碎过程中会产生粉尘G5和噪声N4。</w:t>
            </w:r>
          </w:p>
          <w:p w14:paraId="653AD1DF">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搅拌：</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将粉碎后的物料经</w:t>
            </w:r>
            <w:r>
              <w:rPr>
                <w:rFonts w:hint="eastAsia" w:cs="Times New Roman"/>
                <w:b w:val="0"/>
                <w:bCs/>
                <w:color w:val="000000" w:themeColor="text1"/>
                <w:kern w:val="2"/>
                <w:sz w:val="24"/>
                <w:szCs w:val="24"/>
                <w:lang w:val="en-US" w:eastAsia="zh-CN" w:bidi="ar-SA"/>
                <w14:textFill>
                  <w14:solidFill>
                    <w14:schemeClr w14:val="tx1"/>
                  </w14:solidFill>
                </w14:textFill>
              </w:rPr>
              <w:t>皮带输送进</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全封闭搅拌机械搅拌均匀，此过程伴有一定的机械噪声N5。</w:t>
            </w:r>
          </w:p>
          <w:p w14:paraId="6A05A1C5">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造粒：</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将物料通过输送带送入制粒机</w:t>
            </w:r>
            <w:r>
              <w:rPr>
                <w:rFonts w:hint="eastAsia" w:cs="Times New Roman"/>
                <w:b w:val="0"/>
                <w:bCs/>
                <w:color w:val="000000" w:themeColor="text1"/>
                <w:kern w:val="2"/>
                <w:sz w:val="24"/>
                <w:szCs w:val="24"/>
                <w:lang w:val="en-US" w:eastAsia="zh-CN" w:bidi="ar-SA"/>
                <w14:textFill>
                  <w14:solidFill>
                    <w14:schemeClr w14:val="tx1"/>
                  </w14:solidFill>
                </w14:textFill>
              </w:rPr>
              <w:t>密闭</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料斗，经制粒机</w:t>
            </w:r>
            <w:r>
              <w:rPr>
                <w:rFonts w:hint="eastAsia" w:cs="Times New Roman"/>
                <w:b w:val="0"/>
                <w:bCs/>
                <w:color w:val="000000" w:themeColor="text1"/>
                <w:kern w:val="2"/>
                <w:sz w:val="24"/>
                <w:szCs w:val="24"/>
                <w:lang w:val="en-US" w:eastAsia="zh-CN" w:bidi="ar-SA"/>
                <w14:textFill>
                  <w14:solidFill>
                    <w14:schemeClr w14:val="tx1"/>
                  </w14:solidFill>
                </w14:textFill>
              </w:rPr>
              <w:t>靠压力</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挤压成型，挤压出紧密的有机肥产品，</w:t>
            </w:r>
            <w:r>
              <w:rPr>
                <w:rFonts w:hint="eastAsia" w:cs="Times New Roman"/>
                <w:b w:val="0"/>
                <w:bCs/>
                <w:color w:val="000000" w:themeColor="text1"/>
                <w:kern w:val="2"/>
                <w:sz w:val="24"/>
                <w:szCs w:val="24"/>
                <w:lang w:val="en-US" w:eastAsia="zh-CN" w:bidi="ar-SA"/>
                <w14:textFill>
                  <w14:solidFill>
                    <w14:schemeClr w14:val="tx1"/>
                  </w14:solidFill>
                </w14:textFill>
              </w:rPr>
              <w:t>此过程</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为物理挤压成型，不添加粘接剂</w:t>
            </w:r>
            <w:r>
              <w:rPr>
                <w:rFonts w:hint="eastAsia" w:cs="Times New Roman"/>
                <w:b w:val="0"/>
                <w:bCs/>
                <w:color w:val="000000" w:themeColor="text1"/>
                <w:kern w:val="2"/>
                <w:sz w:val="24"/>
                <w:szCs w:val="24"/>
                <w:lang w:val="en-US" w:eastAsia="zh-CN" w:bidi="ar-SA"/>
                <w14:textFill>
                  <w14:solidFill>
                    <w14:schemeClr w14:val="tx1"/>
                  </w14:solidFill>
                </w14:textFill>
              </w:rPr>
              <w:t>，无需热源</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，得到较高密度、质量稳定的成型有机肥。造粒机运转过程伴有机械噪声，同时伴有一定的机械噪声N6。</w:t>
            </w:r>
          </w:p>
          <w:p w14:paraId="5E307A06">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烘干：</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项目采用转筒式烘干机，</w:t>
            </w:r>
            <w:r>
              <w:rPr>
                <w:rFonts w:hint="eastAsia" w:cs="Times New Roman"/>
                <w:b w:val="0"/>
                <w:bCs/>
                <w:color w:val="000000" w:themeColor="text1"/>
                <w:kern w:val="2"/>
                <w:sz w:val="24"/>
                <w:szCs w:val="24"/>
                <w:lang w:val="en-US" w:eastAsia="zh-CN" w:bidi="ar-SA"/>
                <w14:textFill>
                  <w14:solidFill>
                    <w14:schemeClr w14:val="tx1"/>
                  </w14:solidFill>
                </w14:textFill>
              </w:rPr>
              <w:t>通过低氮燃烧热风炉对</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对发酵完成的生物有机肥进行</w:t>
            </w:r>
            <w:r>
              <w:rPr>
                <w:rFonts w:hint="eastAsia" w:cs="Times New Roman"/>
                <w:b w:val="0"/>
                <w:bCs/>
                <w:color w:val="000000" w:themeColor="text1"/>
                <w:kern w:val="2"/>
                <w:sz w:val="24"/>
                <w:szCs w:val="24"/>
                <w:lang w:val="en-US" w:eastAsia="zh-CN" w:bidi="ar-SA"/>
                <w14:textFill>
                  <w14:solidFill>
                    <w14:schemeClr w14:val="tx1"/>
                  </w14:solidFill>
                </w14:textFill>
              </w:rPr>
              <w:t>间接式</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烘干</w:t>
            </w:r>
            <w:r>
              <w:rPr>
                <w:rFonts w:hint="eastAsia" w:cs="Times New Roman"/>
                <w:b w:val="0"/>
                <w:bCs/>
                <w:color w:val="000000" w:themeColor="text1"/>
                <w:kern w:val="2"/>
                <w:sz w:val="24"/>
                <w:szCs w:val="24"/>
                <w:lang w:val="en-US" w:eastAsia="zh-CN" w:bidi="ar-SA"/>
                <w14:textFill>
                  <w14:solidFill>
                    <w14:schemeClr w14:val="tx1"/>
                  </w14:solidFill>
                </w14:textFill>
              </w:rPr>
              <w:t>，将肥料水分降到20%含水率，</w:t>
            </w:r>
            <w:r>
              <w:rPr>
                <w:rFonts w:hint="eastAsia" w:ascii="Times New Roman" w:hAnsi="Times New Roman" w:eastAsia="宋体" w:cs="Times New Roman"/>
                <w:b w:val="0"/>
                <w:bCs w:val="0"/>
                <w:color w:val="auto"/>
                <w:spacing w:val="-3"/>
                <w:sz w:val="24"/>
                <w:szCs w:val="24"/>
                <w:highlight w:val="none"/>
                <w:lang w:val="en-US" w:eastAsia="zh-CN"/>
              </w:rPr>
              <w:t>烘干仓内的温度为40-60℃，</w:t>
            </w:r>
            <w:r>
              <w:rPr>
                <w:rFonts w:hint="eastAsia" w:cs="Times New Roman"/>
                <w:b w:val="0"/>
                <w:bCs/>
                <w:color w:val="000000" w:themeColor="text1"/>
                <w:kern w:val="2"/>
                <w:sz w:val="24"/>
                <w:szCs w:val="24"/>
                <w:lang w:val="en-US" w:eastAsia="zh-CN" w:bidi="ar-SA"/>
                <w14:textFill>
                  <w14:solidFill>
                    <w14:schemeClr w14:val="tx1"/>
                  </w14:solidFill>
                </w14:textFill>
              </w:rPr>
              <w:t>每次烘干时间约10min，全天烘干时间约3h。</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此过程</w:t>
            </w:r>
            <w:r>
              <w:rPr>
                <w:rFonts w:hint="eastAsia" w:cs="Times New Roman"/>
                <w:b w:val="0"/>
                <w:bCs/>
                <w:color w:val="000000" w:themeColor="text1"/>
                <w:kern w:val="2"/>
                <w:sz w:val="24"/>
                <w:szCs w:val="24"/>
                <w:lang w:val="en-US" w:eastAsia="zh-CN" w:bidi="ar-SA"/>
                <w14:textFill>
                  <w14:solidFill>
                    <w14:schemeClr w14:val="tx1"/>
                  </w14:solidFill>
                </w14:textFill>
              </w:rPr>
              <w:t>产生粉尘G6、燃烧废气G7和</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噪声N7。</w:t>
            </w:r>
          </w:p>
          <w:p w14:paraId="55CAF48D">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冷却：</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经烘干后的物料由密闭输送带运输冷</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却机</w:t>
            </w:r>
            <w:r>
              <w:rPr>
                <w:rFonts w:hint="eastAsia" w:cs="Times New Roman"/>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采用风冷</w:t>
            </w:r>
            <w:r>
              <w:rPr>
                <w:rFonts w:hint="eastAsia" w:cs="Times New Roman"/>
                <w:b w:val="0"/>
                <w:bCs/>
                <w:color w:val="000000" w:themeColor="text1"/>
                <w:kern w:val="2"/>
                <w:sz w:val="24"/>
                <w:szCs w:val="24"/>
                <w:lang w:val="en-US" w:eastAsia="zh-CN" w:bidi="ar-SA"/>
                <w14:textFill>
                  <w14:solidFill>
                    <w14:schemeClr w14:val="tx1"/>
                  </w14:solidFill>
                </w14:textFill>
              </w:rPr>
              <w:t>），一方面</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对制成的颗粒肥料进行冷却，</w:t>
            </w:r>
            <w:r>
              <w:rPr>
                <w:rFonts w:hint="eastAsia" w:cs="Times New Roman"/>
                <w:b w:val="0"/>
                <w:bCs/>
                <w:color w:val="000000" w:themeColor="text1"/>
                <w:kern w:val="2"/>
                <w:sz w:val="24"/>
                <w:szCs w:val="24"/>
                <w:lang w:val="en-US" w:eastAsia="zh-CN" w:bidi="ar-SA"/>
                <w14:textFill>
                  <w14:solidFill>
                    <w14:schemeClr w14:val="tx1"/>
                  </w14:solidFill>
                </w14:textFill>
              </w:rPr>
              <w:t>另一方面吸走浮于颗粒表面未成形的物料，</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项目冷却机使用电能</w:t>
            </w:r>
            <w:r>
              <w:rPr>
                <w:rFonts w:hint="eastAsia" w:cs="Times New Roman"/>
                <w:b w:val="0"/>
                <w:bCs/>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此过程</w:t>
            </w:r>
            <w:r>
              <w:rPr>
                <w:rFonts w:hint="eastAsia" w:cs="Times New Roman"/>
                <w:b w:val="0"/>
                <w:bCs/>
                <w:color w:val="000000" w:themeColor="text1"/>
                <w:kern w:val="2"/>
                <w:sz w:val="24"/>
                <w:szCs w:val="24"/>
                <w:lang w:val="en-US" w:eastAsia="zh-CN" w:bidi="ar-SA"/>
                <w14:textFill>
                  <w14:solidFill>
                    <w14:schemeClr w14:val="tx1"/>
                  </w14:solidFill>
                </w14:textFill>
              </w:rPr>
              <w:t>产生粉尘G8</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产生噪声N</w:t>
            </w:r>
            <w:r>
              <w:rPr>
                <w:rFonts w:hint="eastAsia" w:cs="Times New Roman"/>
                <w:b w:val="0"/>
                <w:bCs/>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w:t>
            </w:r>
          </w:p>
          <w:p w14:paraId="4C5B0198">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包装：</w:t>
            </w:r>
            <w:r>
              <w:rPr>
                <w:rFonts w:hint="eastAsia" w:cs="Times New Roman"/>
                <w:b w:val="0"/>
                <w:bCs/>
                <w:color w:val="000000" w:themeColor="text1"/>
                <w:kern w:val="2"/>
                <w:sz w:val="24"/>
                <w:szCs w:val="24"/>
                <w:lang w:val="en-US" w:eastAsia="zh-CN" w:bidi="ar-SA"/>
                <w14:textFill>
                  <w14:solidFill>
                    <w14:schemeClr w14:val="tx1"/>
                  </w14:solidFill>
                </w14:textFill>
              </w:rPr>
              <w:t>用包装机对产品</w:t>
            </w:r>
            <w:r>
              <w:rPr>
                <w:rFonts w:hint="default" w:cs="Times New Roman"/>
                <w:b w:val="0"/>
                <w:bCs/>
                <w:color w:val="000000" w:themeColor="text1"/>
                <w:kern w:val="2"/>
                <w:sz w:val="24"/>
                <w:szCs w:val="24"/>
                <w:lang w:val="en-US" w:eastAsia="zh-CN" w:bidi="ar-SA"/>
                <w14:textFill>
                  <w14:solidFill>
                    <w14:schemeClr w14:val="tx1"/>
                  </w14:solidFill>
                </w14:textFill>
              </w:rPr>
              <w:t>进行定量</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分装，</w:t>
            </w:r>
            <w:r>
              <w:rPr>
                <w:rFonts w:hint="eastAsia" w:cs="Times New Roman"/>
                <w:b w:val="0"/>
                <w:bCs/>
                <w:color w:val="000000" w:themeColor="text1"/>
                <w:kern w:val="2"/>
                <w:sz w:val="24"/>
                <w:szCs w:val="24"/>
                <w:lang w:val="en-US" w:eastAsia="zh-CN" w:bidi="ar-SA"/>
                <w14:textFill>
                  <w14:solidFill>
                    <w14:schemeClr w14:val="tx1"/>
                  </w14:solidFill>
                </w14:textFill>
              </w:rPr>
              <w:t>由于冷却过程已经处理掉浮渣，故此过程不会产生粉尘，</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包装过程</w:t>
            </w:r>
            <w:r>
              <w:rPr>
                <w:rFonts w:hint="eastAsia" w:cs="Times New Roman"/>
                <w:b w:val="0"/>
                <w:bCs/>
                <w:color w:val="000000" w:themeColor="text1"/>
                <w:kern w:val="2"/>
                <w:sz w:val="24"/>
                <w:szCs w:val="24"/>
                <w:lang w:val="en-US" w:eastAsia="zh-CN" w:bidi="ar-SA"/>
                <w14:textFill>
                  <w14:solidFill>
                    <w14:schemeClr w14:val="tx1"/>
                  </w14:solidFill>
                </w14:textFill>
              </w:rPr>
              <w:t>仅</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产生噪声N</w:t>
            </w:r>
            <w:r>
              <w:rPr>
                <w:rFonts w:hint="eastAsia" w:cs="Times New Roman"/>
                <w:b w:val="0"/>
                <w:bCs/>
                <w:color w:val="000000" w:themeColor="text1"/>
                <w:kern w:val="2"/>
                <w:sz w:val="24"/>
                <w:szCs w:val="24"/>
                <w:lang w:val="en-US" w:eastAsia="zh-CN" w:bidi="ar-SA"/>
                <w14:textFill>
                  <w14:solidFill>
                    <w14:schemeClr w14:val="tx1"/>
                  </w14:solidFill>
                </w14:textFill>
              </w:rPr>
              <w:t>9</w:t>
            </w:r>
            <w:r>
              <w:rPr>
                <w:rFonts w:hint="default" w:ascii="Times New Roman" w:hAnsi="Times New Roman" w:cs="Times New Roman"/>
                <w:b w:val="0"/>
                <w:bCs/>
                <w:color w:val="000000" w:themeColor="text1"/>
                <w:kern w:val="2"/>
                <w:sz w:val="24"/>
                <w:szCs w:val="24"/>
                <w:lang w:val="en-US" w:eastAsia="zh-CN" w:bidi="ar-SA"/>
                <w14:textFill>
                  <w14:solidFill>
                    <w14:schemeClr w14:val="tx1"/>
                  </w14:solidFill>
                </w14:textFill>
              </w:rPr>
              <w:t>。</w:t>
            </w:r>
          </w:p>
          <w:p w14:paraId="665B0BF1">
            <w:pPr>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本项目车间之间及车间内的运输均采用皮带运输，且皮带运输机均进行密闭。</w:t>
            </w:r>
            <w:r>
              <w:rPr>
                <w:rFonts w:hint="default" w:ascii="Times New Roman" w:hAnsi="Times New Roman" w:eastAsia="宋体" w:cs="Times New Roman"/>
                <w:bCs/>
                <w:color w:val="000000" w:themeColor="text1"/>
                <w:sz w:val="24"/>
                <w:szCs w:val="24"/>
                <w:highlight w:val="none"/>
                <w14:textFill>
                  <w14:solidFill>
                    <w14:schemeClr w14:val="tx1"/>
                  </w14:solidFill>
                </w14:textFill>
              </w:rPr>
              <w:t>项目建成投入使用后产生的污染因素主要包括废气、</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Cs/>
                <w:color w:val="000000" w:themeColor="text1"/>
                <w:sz w:val="24"/>
                <w:szCs w:val="24"/>
                <w:highlight w:val="none"/>
                <w14:textFill>
                  <w14:solidFill>
                    <w14:schemeClr w14:val="tx1"/>
                  </w14:solidFill>
                </w14:textFill>
              </w:rPr>
              <w:t>噪声及固体废物。各污染物来源途径见表2-</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5E49D72D">
            <w:pPr>
              <w:spacing w:line="360" w:lineRule="auto"/>
              <w:ind w:firstLine="482" w:firstLineChars="200"/>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表2-</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运营期产污环节及污染因子</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87"/>
              <w:gridCol w:w="1442"/>
              <w:gridCol w:w="1348"/>
              <w:gridCol w:w="2249"/>
              <w:gridCol w:w="1103"/>
              <w:gridCol w:w="1077"/>
            </w:tblGrid>
            <w:tr w14:paraId="2FD061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436" w:type="pct"/>
                  <w:gridSpan w:val="2"/>
                  <w:noWrap w:val="0"/>
                  <w:vAlign w:val="center"/>
                </w:tcPr>
                <w:p w14:paraId="3A8B2B29">
                  <w:pPr>
                    <w:kinsoku w:val="0"/>
                    <w:overflowPunct w:val="0"/>
                    <w:autoSpaceDE w:val="0"/>
                    <w:autoSpaceDN w:val="0"/>
                    <w:jc w:val="cente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污染</w:t>
                  </w: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类型</w:t>
                  </w:r>
                </w:p>
              </w:tc>
              <w:tc>
                <w:tcPr>
                  <w:tcW w:w="831" w:type="pct"/>
                  <w:noWrap w:val="0"/>
                  <w:vAlign w:val="center"/>
                </w:tcPr>
                <w:p w14:paraId="042196E1">
                  <w:pPr>
                    <w:kinsoku w:val="0"/>
                    <w:overflowPunct w:val="0"/>
                    <w:autoSpaceDE w:val="0"/>
                    <w:autoSpaceDN w:val="0"/>
                    <w:jc w:val="cente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产生工序</w:t>
                  </w:r>
                </w:p>
              </w:tc>
              <w:tc>
                <w:tcPr>
                  <w:tcW w:w="1387" w:type="pct"/>
                  <w:noWrap w:val="0"/>
                  <w:vAlign w:val="center"/>
                </w:tcPr>
                <w:p w14:paraId="01201EEA">
                  <w:pPr>
                    <w:kinsoku w:val="0"/>
                    <w:overflowPunct w:val="0"/>
                    <w:autoSpaceDE w:val="0"/>
                    <w:autoSpaceDN w:val="0"/>
                    <w:jc w:val="cente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主要污染物</w:t>
                  </w:r>
                </w:p>
              </w:tc>
              <w:tc>
                <w:tcPr>
                  <w:tcW w:w="680" w:type="pct"/>
                  <w:noWrap w:val="0"/>
                  <w:vAlign w:val="center"/>
                </w:tcPr>
                <w:p w14:paraId="0BDC7328">
                  <w:pPr>
                    <w:kinsoku w:val="0"/>
                    <w:overflowPunct w:val="0"/>
                    <w:autoSpaceDE w:val="0"/>
                    <w:autoSpaceDN w:val="0"/>
                    <w:jc w:val="cente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产生位置</w:t>
                  </w:r>
                </w:p>
              </w:tc>
              <w:tc>
                <w:tcPr>
                  <w:tcW w:w="664" w:type="pct"/>
                  <w:noWrap w:val="0"/>
                  <w:vAlign w:val="center"/>
                </w:tcPr>
                <w:p w14:paraId="047455D7">
                  <w:pPr>
                    <w:kinsoku w:val="0"/>
                    <w:overflowPunct w:val="0"/>
                    <w:autoSpaceDE w:val="0"/>
                    <w:autoSpaceDN w:val="0"/>
                    <w:jc w:val="cente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en-US"/>
                      <w14:textFill>
                        <w14:solidFill>
                          <w14:schemeClr w14:val="tx1"/>
                        </w14:solidFill>
                      </w14:textFill>
                    </w:rPr>
                    <w:t>排放方式</w:t>
                  </w:r>
                </w:p>
              </w:tc>
            </w:tr>
            <w:tr w14:paraId="121A94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restart"/>
                  <w:noWrap w:val="0"/>
                  <w:vAlign w:val="center"/>
                </w:tcPr>
                <w:p w14:paraId="79830BA9">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废气</w:t>
                  </w:r>
                </w:p>
              </w:tc>
              <w:tc>
                <w:tcPr>
                  <w:tcW w:w="889" w:type="pct"/>
                  <w:noWrap w:val="0"/>
                  <w:vAlign w:val="center"/>
                </w:tcPr>
                <w:p w14:paraId="398872B0">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粉尘</w:t>
                  </w:r>
                </w:p>
              </w:tc>
              <w:tc>
                <w:tcPr>
                  <w:tcW w:w="831" w:type="pct"/>
                  <w:noWrap w:val="0"/>
                  <w:vAlign w:val="center"/>
                </w:tcPr>
                <w:p w14:paraId="6798FA94">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切割、</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粉碎、筛分</w:t>
                  </w:r>
                  <w:r>
                    <w:rPr>
                      <w:rFonts w:hint="eastAsia" w:cs="Times New Roman"/>
                      <w:color w:val="000000" w:themeColor="text1"/>
                      <w:kern w:val="0"/>
                      <w:sz w:val="21"/>
                      <w:szCs w:val="21"/>
                      <w:highlight w:val="none"/>
                      <w:lang w:val="en-US" w:eastAsia="zh-CN"/>
                      <w14:textFill>
                        <w14:solidFill>
                          <w14:schemeClr w14:val="tx1"/>
                        </w14:solidFill>
                      </w14:textFill>
                    </w:rPr>
                    <w:t>、烘干</w:t>
                  </w:r>
                </w:p>
              </w:tc>
              <w:tc>
                <w:tcPr>
                  <w:tcW w:w="1387" w:type="pct"/>
                  <w:noWrap w:val="0"/>
                  <w:vAlign w:val="center"/>
                </w:tcPr>
                <w:p w14:paraId="3DC7253D">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颗粒物</w:t>
                  </w:r>
                </w:p>
              </w:tc>
              <w:tc>
                <w:tcPr>
                  <w:tcW w:w="680" w:type="pct"/>
                  <w:noWrap w:val="0"/>
                  <w:vAlign w:val="center"/>
                </w:tcPr>
                <w:p w14:paraId="0B36C15C">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生产车间</w:t>
                  </w:r>
                </w:p>
              </w:tc>
              <w:tc>
                <w:tcPr>
                  <w:tcW w:w="664" w:type="pct"/>
                  <w:noWrap w:val="0"/>
                  <w:vAlign w:val="center"/>
                </w:tcPr>
                <w:p w14:paraId="560E2D6E">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室内、</w:t>
                  </w: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间歇</w:t>
                  </w:r>
                </w:p>
              </w:tc>
            </w:tr>
            <w:tr w14:paraId="346701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continue"/>
                  <w:noWrap w:val="0"/>
                  <w:vAlign w:val="center"/>
                </w:tcPr>
                <w:p w14:paraId="024735B8">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889" w:type="pct"/>
                  <w:noWrap w:val="0"/>
                  <w:vAlign w:val="center"/>
                </w:tcPr>
                <w:p w14:paraId="07014BAE">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恶臭气体</w:t>
                  </w:r>
                </w:p>
              </w:tc>
              <w:tc>
                <w:tcPr>
                  <w:tcW w:w="831" w:type="pct"/>
                  <w:noWrap w:val="0"/>
                  <w:vAlign w:val="center"/>
                </w:tcPr>
                <w:p w14:paraId="6589F121">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混合、发酵、翻抛</w:t>
                  </w:r>
                </w:p>
              </w:tc>
              <w:tc>
                <w:tcPr>
                  <w:tcW w:w="1387" w:type="pct"/>
                  <w:noWrap w:val="0"/>
                  <w:vAlign w:val="center"/>
                </w:tcPr>
                <w:p w14:paraId="18BA65E8">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kern w:val="0"/>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、H</w:t>
                  </w:r>
                  <w:r>
                    <w:rPr>
                      <w:rFonts w:hint="default" w:ascii="Times New Roman" w:hAnsi="Times New Roman" w:cs="Times New Roman"/>
                      <w:color w:val="000000" w:themeColor="text1"/>
                      <w:kern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S、臭气浓度</w:t>
                  </w:r>
                </w:p>
              </w:tc>
              <w:tc>
                <w:tcPr>
                  <w:tcW w:w="680" w:type="pct"/>
                  <w:noWrap w:val="0"/>
                  <w:vAlign w:val="center"/>
                </w:tcPr>
                <w:p w14:paraId="52AA3AE7">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发酵车间</w:t>
                  </w:r>
                  <w:r>
                    <w:rPr>
                      <w:rFonts w:hint="eastAsia" w:cs="Times New Roman"/>
                      <w:color w:val="000000" w:themeColor="text1"/>
                      <w:kern w:val="0"/>
                      <w:sz w:val="21"/>
                      <w:szCs w:val="21"/>
                      <w:highlight w:val="none"/>
                      <w:lang w:val="en-US" w:eastAsia="zh-CN"/>
                      <w14:textFill>
                        <w14:solidFill>
                          <w14:schemeClr w14:val="tx1"/>
                        </w14:solidFill>
                      </w14:textFill>
                    </w:rPr>
                    <w:t>、扩繁间</w:t>
                  </w:r>
                </w:p>
              </w:tc>
              <w:tc>
                <w:tcPr>
                  <w:tcW w:w="664" w:type="pct"/>
                  <w:noWrap w:val="0"/>
                  <w:vAlign w:val="center"/>
                </w:tcPr>
                <w:p w14:paraId="2D4BD0E1">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室内、</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连续</w:t>
                  </w:r>
                </w:p>
              </w:tc>
            </w:tr>
            <w:tr w14:paraId="5B1504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continue"/>
                  <w:noWrap w:val="0"/>
                  <w:vAlign w:val="center"/>
                </w:tcPr>
                <w:p w14:paraId="40ED16EA">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889" w:type="pct"/>
                  <w:noWrap w:val="0"/>
                  <w:vAlign w:val="center"/>
                </w:tcPr>
                <w:p w14:paraId="77DD91BC">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燃烧废气</w:t>
                  </w:r>
                </w:p>
              </w:tc>
              <w:tc>
                <w:tcPr>
                  <w:tcW w:w="831" w:type="pct"/>
                  <w:noWrap w:val="0"/>
                  <w:vAlign w:val="center"/>
                </w:tcPr>
                <w:p w14:paraId="117BC40F">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烘干</w:t>
                  </w:r>
                </w:p>
              </w:tc>
              <w:tc>
                <w:tcPr>
                  <w:tcW w:w="1387" w:type="pct"/>
                  <w:noWrap w:val="0"/>
                  <w:vAlign w:val="center"/>
                </w:tcPr>
                <w:p w14:paraId="6B9EC416">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颗粒物、SO</w:t>
                  </w:r>
                  <w:r>
                    <w:rPr>
                      <w:rFonts w:hint="default" w:ascii="Times New Roman" w:hAnsi="Times New Roman" w:cs="Times New Roman"/>
                      <w:color w:val="000000" w:themeColor="text1"/>
                      <w:kern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kern w:val="0"/>
                      <w:sz w:val="21"/>
                      <w:szCs w:val="21"/>
                      <w:highlight w:val="none"/>
                      <w:vertAlign w:val="subscript"/>
                      <w:lang w:val="en-US" w:eastAsia="zh-CN"/>
                      <w14:textFill>
                        <w14:solidFill>
                          <w14:schemeClr w14:val="tx1"/>
                        </w14:solidFill>
                      </w14:textFill>
                    </w:rPr>
                    <w:t>X</w:t>
                  </w:r>
                </w:p>
              </w:tc>
              <w:tc>
                <w:tcPr>
                  <w:tcW w:w="680" w:type="pct"/>
                  <w:noWrap w:val="0"/>
                  <w:vAlign w:val="center"/>
                </w:tcPr>
                <w:p w14:paraId="0252D805">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生产车间</w:t>
                  </w:r>
                </w:p>
              </w:tc>
              <w:tc>
                <w:tcPr>
                  <w:tcW w:w="664" w:type="pct"/>
                  <w:noWrap w:val="0"/>
                  <w:vAlign w:val="center"/>
                </w:tcPr>
                <w:p w14:paraId="5046A447">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室内、</w:t>
                  </w: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间歇</w:t>
                  </w:r>
                </w:p>
              </w:tc>
            </w:tr>
            <w:tr w14:paraId="48B0C5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restart"/>
                  <w:noWrap w:val="0"/>
                  <w:vAlign w:val="center"/>
                </w:tcPr>
                <w:p w14:paraId="5E1EEC51">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w:t>
                  </w:r>
                </w:p>
              </w:tc>
              <w:tc>
                <w:tcPr>
                  <w:tcW w:w="889" w:type="pct"/>
                  <w:noWrap w:val="0"/>
                  <w:vAlign w:val="center"/>
                </w:tcPr>
                <w:p w14:paraId="0B81C0BE">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生活污水</w:t>
                  </w:r>
                </w:p>
              </w:tc>
              <w:tc>
                <w:tcPr>
                  <w:tcW w:w="831" w:type="pct"/>
                  <w:noWrap w:val="0"/>
                  <w:vAlign w:val="center"/>
                </w:tcPr>
                <w:p w14:paraId="054EA0E7">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员工生活</w:t>
                  </w:r>
                </w:p>
              </w:tc>
              <w:tc>
                <w:tcPr>
                  <w:tcW w:w="1387" w:type="pct"/>
                  <w:noWrap w:val="0"/>
                  <w:vAlign w:val="center"/>
                </w:tcPr>
                <w:p w14:paraId="0BAA6845">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COD、BOD、SS</w:t>
                  </w:r>
                </w:p>
              </w:tc>
              <w:tc>
                <w:tcPr>
                  <w:tcW w:w="680" w:type="pct"/>
                  <w:noWrap w:val="0"/>
                  <w:vAlign w:val="center"/>
                </w:tcPr>
                <w:p w14:paraId="747430E4">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厂区内</w:t>
                  </w:r>
                </w:p>
              </w:tc>
              <w:tc>
                <w:tcPr>
                  <w:tcW w:w="664" w:type="pct"/>
                  <w:noWrap w:val="0"/>
                  <w:vAlign w:val="center"/>
                </w:tcPr>
                <w:p w14:paraId="7C034592">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间歇</w:t>
                  </w:r>
                </w:p>
              </w:tc>
            </w:tr>
            <w:tr w14:paraId="4A0B54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continue"/>
                  <w:noWrap w:val="0"/>
                  <w:vAlign w:val="center"/>
                </w:tcPr>
                <w:p w14:paraId="1164D699">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89" w:type="pct"/>
                  <w:noWrap w:val="0"/>
                  <w:vAlign w:val="center"/>
                </w:tcPr>
                <w:p w14:paraId="4CB770BB">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渗滤液</w:t>
                  </w:r>
                </w:p>
              </w:tc>
              <w:tc>
                <w:tcPr>
                  <w:tcW w:w="831" w:type="pct"/>
                  <w:noWrap w:val="0"/>
                  <w:vAlign w:val="center"/>
                </w:tcPr>
                <w:p w14:paraId="218BD0A5">
                  <w:pPr>
                    <w:kinsoku w:val="0"/>
                    <w:overflowPunct w:val="0"/>
                    <w:autoSpaceDE w:val="0"/>
                    <w:autoSpaceDN w:val="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发酵</w:t>
                  </w:r>
                </w:p>
              </w:tc>
              <w:tc>
                <w:tcPr>
                  <w:tcW w:w="1387" w:type="pct"/>
                  <w:noWrap w:val="0"/>
                  <w:vAlign w:val="center"/>
                </w:tcPr>
                <w:p w14:paraId="3CF34EC0">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w:t>
                  </w:r>
                </w:p>
              </w:tc>
              <w:tc>
                <w:tcPr>
                  <w:tcW w:w="680" w:type="pct"/>
                  <w:noWrap w:val="0"/>
                  <w:vAlign w:val="center"/>
                </w:tcPr>
                <w:p w14:paraId="66724DF1">
                  <w:pPr>
                    <w:kinsoku w:val="0"/>
                    <w:overflowPunct w:val="0"/>
                    <w:autoSpaceDE w:val="0"/>
                    <w:autoSpaceDN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发酵车间</w:t>
                  </w:r>
                </w:p>
              </w:tc>
              <w:tc>
                <w:tcPr>
                  <w:tcW w:w="664" w:type="pct"/>
                  <w:noWrap w:val="0"/>
                  <w:vAlign w:val="center"/>
                </w:tcPr>
                <w:p w14:paraId="6B8554FB">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间歇</w:t>
                  </w:r>
                </w:p>
              </w:tc>
            </w:tr>
            <w:tr w14:paraId="0DC97E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continue"/>
                  <w:noWrap w:val="0"/>
                  <w:vAlign w:val="center"/>
                </w:tcPr>
                <w:p w14:paraId="54BF9374">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89" w:type="pct"/>
                  <w:noWrap w:val="0"/>
                  <w:vAlign w:val="center"/>
                </w:tcPr>
                <w:p w14:paraId="1DF78C7A">
                  <w:pPr>
                    <w:kinsoku w:val="0"/>
                    <w:overflowPunct w:val="0"/>
                    <w:autoSpaceDE w:val="0"/>
                    <w:autoSpaceDN w:val="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罐体清洗</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废水</w:t>
                  </w:r>
                </w:p>
              </w:tc>
              <w:tc>
                <w:tcPr>
                  <w:tcW w:w="831" w:type="pct"/>
                  <w:noWrap w:val="0"/>
                  <w:vAlign w:val="center"/>
                </w:tcPr>
                <w:p w14:paraId="066C05CA">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生产</w:t>
                  </w:r>
                </w:p>
              </w:tc>
              <w:tc>
                <w:tcPr>
                  <w:tcW w:w="1387" w:type="pct"/>
                  <w:noWrap w:val="0"/>
                  <w:vAlign w:val="center"/>
                </w:tcPr>
                <w:p w14:paraId="3831C491">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680" w:type="pct"/>
                  <w:noWrap w:val="0"/>
                  <w:vAlign w:val="center"/>
                </w:tcPr>
                <w:p w14:paraId="6673EE6A">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生产车间</w:t>
                  </w:r>
                </w:p>
              </w:tc>
              <w:tc>
                <w:tcPr>
                  <w:tcW w:w="664" w:type="pct"/>
                  <w:noWrap w:val="0"/>
                  <w:vAlign w:val="center"/>
                </w:tcPr>
                <w:p w14:paraId="3F48CD86">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集中收集后用于生产</w:t>
                  </w:r>
                </w:p>
              </w:tc>
            </w:tr>
            <w:tr w14:paraId="636EF9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restart"/>
                  <w:noWrap w:val="0"/>
                  <w:vAlign w:val="center"/>
                </w:tcPr>
                <w:p w14:paraId="44BDD91A">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固废</w:t>
                  </w:r>
                </w:p>
              </w:tc>
              <w:tc>
                <w:tcPr>
                  <w:tcW w:w="889" w:type="pct"/>
                  <w:noWrap w:val="0"/>
                  <w:vAlign w:val="center"/>
                </w:tcPr>
                <w:p w14:paraId="7C18F51F">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生活垃圾</w:t>
                  </w:r>
                </w:p>
              </w:tc>
              <w:tc>
                <w:tcPr>
                  <w:tcW w:w="831" w:type="pct"/>
                  <w:noWrap w:val="0"/>
                  <w:vAlign w:val="center"/>
                </w:tcPr>
                <w:p w14:paraId="3246F66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员工生活</w:t>
                  </w:r>
                </w:p>
              </w:tc>
              <w:tc>
                <w:tcPr>
                  <w:tcW w:w="1387" w:type="pct"/>
                  <w:noWrap w:val="0"/>
                  <w:vAlign w:val="center"/>
                </w:tcPr>
                <w:p w14:paraId="0672CFF6">
                  <w:pPr>
                    <w:kinsoku w:val="0"/>
                    <w:overflowPunct w:val="0"/>
                    <w:autoSpaceDE w:val="0"/>
                    <w:autoSpaceDN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680" w:type="pct"/>
                  <w:noWrap w:val="0"/>
                  <w:vAlign w:val="center"/>
                </w:tcPr>
                <w:p w14:paraId="16A647E7">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厂区内</w:t>
                  </w:r>
                </w:p>
              </w:tc>
              <w:tc>
                <w:tcPr>
                  <w:tcW w:w="664" w:type="pct"/>
                  <w:noWrap w:val="0"/>
                  <w:vAlign w:val="center"/>
                </w:tcPr>
                <w:p w14:paraId="1AB25300">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间歇</w:t>
                  </w:r>
                </w:p>
              </w:tc>
            </w:tr>
            <w:tr w14:paraId="178823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continue"/>
                  <w:noWrap w:val="0"/>
                  <w:vAlign w:val="center"/>
                </w:tcPr>
                <w:p w14:paraId="24E42EA1">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p>
              </w:tc>
              <w:tc>
                <w:tcPr>
                  <w:tcW w:w="889" w:type="pct"/>
                  <w:vMerge w:val="restart"/>
                  <w:noWrap w:val="0"/>
                  <w:vAlign w:val="center"/>
                </w:tcPr>
                <w:p w14:paraId="093D4177">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一般工业固废</w:t>
                  </w:r>
                </w:p>
              </w:tc>
              <w:tc>
                <w:tcPr>
                  <w:tcW w:w="831" w:type="pct"/>
                  <w:noWrap w:val="0"/>
                  <w:vAlign w:val="center"/>
                </w:tcPr>
                <w:p w14:paraId="465FB6A1">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废气处理</w:t>
                  </w:r>
                </w:p>
              </w:tc>
              <w:tc>
                <w:tcPr>
                  <w:tcW w:w="1387" w:type="pct"/>
                  <w:noWrap w:val="0"/>
                  <w:vAlign w:val="center"/>
                </w:tcPr>
                <w:p w14:paraId="61A5ED24">
                  <w:pPr>
                    <w:kinsoku w:val="0"/>
                    <w:overflowPunct w:val="0"/>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布袋收尘灰、落地灰</w:t>
                  </w:r>
                </w:p>
              </w:tc>
              <w:tc>
                <w:tcPr>
                  <w:tcW w:w="680" w:type="pct"/>
                  <w:noWrap w:val="0"/>
                  <w:vAlign w:val="center"/>
                </w:tcPr>
                <w:p w14:paraId="2C082721">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生产车间</w:t>
                  </w:r>
                </w:p>
              </w:tc>
              <w:tc>
                <w:tcPr>
                  <w:tcW w:w="664" w:type="pct"/>
                  <w:noWrap w:val="0"/>
                  <w:vAlign w:val="center"/>
                </w:tcPr>
                <w:p w14:paraId="5A2A0371">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间歇</w:t>
                  </w:r>
                </w:p>
              </w:tc>
            </w:tr>
            <w:tr w14:paraId="0FE4ED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47" w:type="pct"/>
                  <w:vMerge w:val="continue"/>
                  <w:noWrap w:val="0"/>
                  <w:vAlign w:val="center"/>
                </w:tcPr>
                <w:p w14:paraId="63B4A195">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p>
              </w:tc>
              <w:tc>
                <w:tcPr>
                  <w:tcW w:w="889" w:type="pct"/>
                  <w:vMerge w:val="continue"/>
                  <w:noWrap w:val="0"/>
                  <w:vAlign w:val="center"/>
                </w:tcPr>
                <w:p w14:paraId="06C2E910">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31" w:type="pct"/>
                  <w:noWrap w:val="0"/>
                  <w:vAlign w:val="center"/>
                </w:tcPr>
                <w:p w14:paraId="5F445FD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w:t>
                  </w:r>
                </w:p>
              </w:tc>
              <w:tc>
                <w:tcPr>
                  <w:tcW w:w="1387" w:type="pct"/>
                  <w:noWrap w:val="0"/>
                  <w:vAlign w:val="center"/>
                </w:tcPr>
                <w:p w14:paraId="0985C049">
                  <w:pPr>
                    <w:kinsoku w:val="0"/>
                    <w:overflowPunct w:val="0"/>
                    <w:autoSpaceDE w:val="0"/>
                    <w:autoSpaceDN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废包装袋、杂质</w:t>
                  </w:r>
                </w:p>
              </w:tc>
              <w:tc>
                <w:tcPr>
                  <w:tcW w:w="680" w:type="pct"/>
                  <w:noWrap w:val="0"/>
                  <w:vAlign w:val="center"/>
                </w:tcPr>
                <w:p w14:paraId="6ACF665D">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生产车间</w:t>
                  </w:r>
                </w:p>
              </w:tc>
              <w:tc>
                <w:tcPr>
                  <w:tcW w:w="664" w:type="pct"/>
                  <w:noWrap w:val="0"/>
                  <w:vAlign w:val="center"/>
                </w:tcPr>
                <w:p w14:paraId="7E220E8F">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间歇</w:t>
                  </w:r>
                </w:p>
              </w:tc>
            </w:tr>
            <w:tr w14:paraId="77F40E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436" w:type="pct"/>
                  <w:gridSpan w:val="2"/>
                  <w:noWrap w:val="0"/>
                  <w:vAlign w:val="center"/>
                </w:tcPr>
                <w:p w14:paraId="63DD97C5">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噪声</w:t>
                  </w:r>
                </w:p>
              </w:tc>
              <w:tc>
                <w:tcPr>
                  <w:tcW w:w="831" w:type="pct"/>
                  <w:noWrap w:val="0"/>
                  <w:vAlign w:val="center"/>
                </w:tcPr>
                <w:p w14:paraId="1F0DCD56">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设备运转</w:t>
                  </w:r>
                </w:p>
              </w:tc>
              <w:tc>
                <w:tcPr>
                  <w:tcW w:w="1387" w:type="pct"/>
                  <w:noWrap w:val="0"/>
                  <w:vAlign w:val="center"/>
                </w:tcPr>
                <w:p w14:paraId="2F6EE7C5">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w:t>
                  </w: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设备噪声</w:t>
                  </w:r>
                </w:p>
              </w:tc>
              <w:tc>
                <w:tcPr>
                  <w:tcW w:w="680" w:type="pct"/>
                  <w:noWrap w:val="0"/>
                  <w:vAlign w:val="center"/>
                </w:tcPr>
                <w:p w14:paraId="2057F379">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各生产区域</w:t>
                  </w:r>
                </w:p>
              </w:tc>
              <w:tc>
                <w:tcPr>
                  <w:tcW w:w="664" w:type="pct"/>
                  <w:noWrap w:val="0"/>
                  <w:vAlign w:val="center"/>
                </w:tcPr>
                <w:p w14:paraId="5AD15903">
                  <w:pPr>
                    <w:kinsoku w:val="0"/>
                    <w:overflowPunct w:val="0"/>
                    <w:autoSpaceDE w:val="0"/>
                    <w:autoSpaceDN w:val="0"/>
                    <w:jc w:val="cente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en-US"/>
                      <w14:textFill>
                        <w14:solidFill>
                          <w14:schemeClr w14:val="tx1"/>
                        </w14:solidFill>
                      </w14:textFill>
                    </w:rPr>
                    <w:t>间歇</w:t>
                  </w:r>
                </w:p>
              </w:tc>
            </w:tr>
          </w:tbl>
          <w:p w14:paraId="6BAEDEBF">
            <w:pPr>
              <w:adjustRightInd w:val="0"/>
              <w:snapToGrid w:val="0"/>
              <w:rPr>
                <w:rFonts w:hint="eastAsia" w:ascii="Times New Roman" w:hAnsi="Times New Roman" w:eastAsia="宋体" w:cs="Times New Roman"/>
                <w:bCs/>
                <w:color w:val="000000" w:themeColor="text1"/>
                <w:sz w:val="24"/>
                <w:szCs w:val="24"/>
                <w:lang w:eastAsia="zh-CN"/>
                <w14:textFill>
                  <w14:solidFill>
                    <w14:schemeClr w14:val="tx1"/>
                  </w14:solidFill>
                </w14:textFill>
              </w:rPr>
            </w:pPr>
          </w:p>
        </w:tc>
      </w:tr>
      <w:tr w14:paraId="26B5F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2" w:hRule="atLeast"/>
          <w:jc w:val="center"/>
        </w:trPr>
        <w:tc>
          <w:tcPr>
            <w:tcW w:w="708" w:type="dxa"/>
            <w:noWrap w:val="0"/>
            <w:vAlign w:val="center"/>
          </w:tcPr>
          <w:p w14:paraId="04974957">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kern w:val="2"/>
                <w:sz w:val="24"/>
                <w:szCs w:val="24"/>
                <w14:textFill>
                  <w14:solidFill>
                    <w14:schemeClr w14:val="tx1"/>
                  </w14:solidFill>
                </w14:textFill>
              </w:rPr>
              <w:t>与项目有关的原有环境污染问题</w:t>
            </w:r>
          </w:p>
        </w:tc>
        <w:tc>
          <w:tcPr>
            <w:tcW w:w="8352" w:type="dxa"/>
            <w:noWrap w:val="0"/>
            <w:vAlign w:val="center"/>
          </w:tcPr>
          <w:p w14:paraId="16B1CD5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jc w:val="both"/>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经现场勘查，</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本项目为新建项目，无与本项目有关的原有环境污染问题。</w:t>
            </w:r>
          </w:p>
          <w:p w14:paraId="0E63FCAE">
            <w:pPr>
              <w:pStyle w:val="18"/>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p>
          <w:p w14:paraId="67DFC934">
            <w:pPr>
              <w:widowControl/>
              <w:spacing w:line="360" w:lineRule="auto"/>
              <w:jc w:val="center"/>
              <w:rPr>
                <w:rFonts w:hint="default" w:ascii="Times New Roman" w:hAnsi="Times New Roman" w:eastAsia="宋体" w:cs="Times New Roman"/>
                <w:bCs/>
                <w:color w:val="000000" w:themeColor="text1"/>
                <w:sz w:val="24"/>
                <w:szCs w:val="24"/>
                <w14:textFill>
                  <w14:solidFill>
                    <w14:schemeClr w14:val="tx1"/>
                  </w14:solidFill>
                </w14:textFill>
              </w:rPr>
            </w:pPr>
          </w:p>
        </w:tc>
      </w:tr>
    </w:tbl>
    <w:p w14:paraId="0758964E">
      <w:pPr>
        <w:pStyle w:val="20"/>
        <w:jc w:val="center"/>
        <w:rPr>
          <w:rFonts w:hint="default" w:ascii="Times New Roman" w:hAnsi="Times New Roman" w:eastAsia="宋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3164EA">
      <w:pPr>
        <w:pStyle w:val="20"/>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p>
    <w:p w14:paraId="1D6C6DBA">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三、区域环境质量现状、环境保护目标及评价标准</w:t>
      </w:r>
    </w:p>
    <w:tbl>
      <w:tblPr>
        <w:tblStyle w:val="22"/>
        <w:tblW w:w="92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2"/>
        <w:gridCol w:w="8428"/>
      </w:tblGrid>
      <w:tr w14:paraId="215EA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1" w:hRule="atLeast"/>
          <w:jc w:val="center"/>
        </w:trPr>
        <w:tc>
          <w:tcPr>
            <w:tcW w:w="862" w:type="dxa"/>
            <w:noWrap w:val="0"/>
            <w:vAlign w:val="center"/>
          </w:tcPr>
          <w:p w14:paraId="2C32E0A0">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区域</w:t>
            </w:r>
          </w:p>
          <w:p w14:paraId="62C7E5C5">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环境</w:t>
            </w:r>
          </w:p>
          <w:p w14:paraId="5582283E">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质量</w:t>
            </w:r>
          </w:p>
          <w:p w14:paraId="6F4096FD">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现状</w:t>
            </w:r>
          </w:p>
        </w:tc>
        <w:tc>
          <w:tcPr>
            <w:tcW w:w="8428" w:type="dxa"/>
            <w:noWrap w:val="0"/>
            <w:vAlign w:val="center"/>
          </w:tcPr>
          <w:p w14:paraId="795DE73C">
            <w:pPr>
              <w:keepNext/>
              <w:keepLines/>
              <w:widowControl/>
              <w:adjustRightInd w:val="0"/>
              <w:snapToGrid w:val="0"/>
              <w:spacing w:line="360" w:lineRule="auto"/>
              <w:jc w:val="left"/>
              <w:outlineLvl w:val="1"/>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r>
              <w:rPr>
                <w:rFonts w:hint="default" w:ascii="Times New Roman" w:hAnsi="Times New Roman" w:cs="Times New Roman"/>
                <w:color w:val="000000" w:themeColor="text1"/>
                <w:sz w:val="24"/>
                <w:szCs w:val="32"/>
                <w14:textFill>
                  <w14:solidFill>
                    <w14:schemeClr w14:val="tx1"/>
                  </w14:solidFill>
                </w14:textFill>
              </w:rPr>
              <w:t>、区域环境质量现状</w:t>
            </w:r>
          </w:p>
          <w:p w14:paraId="171AA494">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1、环境空气质量现状</w:t>
            </w:r>
          </w:p>
          <w:p w14:paraId="0B38654D">
            <w:pPr>
              <w:pStyle w:val="61"/>
              <w:spacing w:line="360" w:lineRule="auto"/>
              <w:ind w:left="588"/>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①常规污染物</w:t>
            </w:r>
          </w:p>
          <w:p w14:paraId="7187A498">
            <w:pPr>
              <w:spacing w:line="360" w:lineRule="auto"/>
              <w:ind w:firstLine="480" w:firstLineChars="200"/>
              <w:rPr>
                <w:color w:val="auto"/>
                <w:sz w:val="24"/>
              </w:rPr>
            </w:pPr>
            <w:r>
              <w:rPr>
                <w:rFonts w:hint="eastAsia"/>
                <w:color w:val="auto"/>
                <w:sz w:val="24"/>
              </w:rPr>
              <w:t>根据《环境影响评价技术导则•大气环境》</w:t>
            </w:r>
            <w:r>
              <w:rPr>
                <w:rFonts w:hint="eastAsia"/>
                <w:color w:val="auto"/>
                <w:sz w:val="24"/>
                <w:lang w:eastAsia="zh-CN"/>
              </w:rPr>
              <w:t>（</w:t>
            </w:r>
            <w:r>
              <w:rPr>
                <w:rFonts w:hint="eastAsia"/>
                <w:color w:val="auto"/>
                <w:sz w:val="24"/>
              </w:rPr>
              <w:t>HJ2.2－2018）要求，三级评价只调查所在区域环境质量达标情况。根据本项目大气专项，本项目大气环境影响评价等级为三级。因此本项目环境质量达标情况调查</w:t>
            </w:r>
            <w:r>
              <w:rPr>
                <w:color w:val="auto"/>
                <w:sz w:val="24"/>
              </w:rPr>
              <w:t>引用宝鸡市生态环境局发布的《宝鸡市</w:t>
            </w:r>
            <w:r>
              <w:rPr>
                <w:rFonts w:hint="eastAsia"/>
                <w:color w:val="auto"/>
                <w:sz w:val="24"/>
              </w:rPr>
              <w:t>2023年1月份—12月份各县区空气质量状况统计表</w:t>
            </w:r>
            <w:r>
              <w:rPr>
                <w:color w:val="auto"/>
                <w:sz w:val="24"/>
              </w:rPr>
              <w:t>》中各县区空气质量统计表</w:t>
            </w:r>
            <w:r>
              <w:rPr>
                <w:rFonts w:hint="eastAsia"/>
                <w:color w:val="auto"/>
                <w:sz w:val="24"/>
              </w:rPr>
              <w:t>，对区域环境空气质量现状进行分析，统计结果见表3-1。</w:t>
            </w:r>
          </w:p>
          <w:p w14:paraId="3769C162">
            <w:pPr>
              <w:widowControl/>
              <w:spacing w:line="36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表3-1  区域空气质量现状评价表</w:t>
            </w:r>
          </w:p>
          <w:tbl>
            <w:tblPr>
              <w:tblStyle w:val="22"/>
              <w:tblW w:w="811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690"/>
              <w:gridCol w:w="1440"/>
              <w:gridCol w:w="1215"/>
              <w:gridCol w:w="1260"/>
              <w:gridCol w:w="1350"/>
              <w:gridCol w:w="750"/>
              <w:gridCol w:w="675"/>
            </w:tblGrid>
            <w:tr w14:paraId="14AB42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738" w:type="dxa"/>
                  <w:noWrap w:val="0"/>
                  <w:vAlign w:val="center"/>
                </w:tcPr>
                <w:p w14:paraId="012FCB4F">
                  <w:pPr>
                    <w:pStyle w:val="44"/>
                    <w:adjustRightInd w:val="0"/>
                    <w:snapToGrid w:val="0"/>
                    <w:rPr>
                      <w:b/>
                      <w:bCs/>
                      <w:color w:val="auto"/>
                      <w:sz w:val="21"/>
                      <w:szCs w:val="21"/>
                    </w:rPr>
                  </w:pPr>
                  <w:r>
                    <w:rPr>
                      <w:b/>
                      <w:bCs/>
                      <w:color w:val="auto"/>
                      <w:sz w:val="21"/>
                      <w:szCs w:val="21"/>
                    </w:rPr>
                    <w:t>所在区域</w:t>
                  </w:r>
                </w:p>
              </w:tc>
              <w:tc>
                <w:tcPr>
                  <w:tcW w:w="690" w:type="dxa"/>
                  <w:noWrap w:val="0"/>
                  <w:vAlign w:val="center"/>
                </w:tcPr>
                <w:p w14:paraId="2534C30D">
                  <w:pPr>
                    <w:pStyle w:val="44"/>
                    <w:adjustRightInd w:val="0"/>
                    <w:snapToGrid w:val="0"/>
                    <w:rPr>
                      <w:b/>
                      <w:bCs/>
                      <w:color w:val="auto"/>
                      <w:sz w:val="21"/>
                      <w:szCs w:val="21"/>
                    </w:rPr>
                  </w:pPr>
                  <w:r>
                    <w:rPr>
                      <w:b/>
                      <w:bCs/>
                      <w:color w:val="auto"/>
                      <w:sz w:val="21"/>
                      <w:szCs w:val="21"/>
                    </w:rPr>
                    <w:t>污染物</w:t>
                  </w:r>
                </w:p>
              </w:tc>
              <w:tc>
                <w:tcPr>
                  <w:tcW w:w="1440" w:type="dxa"/>
                  <w:noWrap w:val="0"/>
                  <w:vAlign w:val="center"/>
                </w:tcPr>
                <w:p w14:paraId="1CA5769F">
                  <w:pPr>
                    <w:pStyle w:val="44"/>
                    <w:adjustRightInd w:val="0"/>
                    <w:snapToGrid w:val="0"/>
                    <w:rPr>
                      <w:b/>
                      <w:bCs/>
                      <w:color w:val="auto"/>
                      <w:sz w:val="21"/>
                      <w:szCs w:val="21"/>
                    </w:rPr>
                  </w:pPr>
                  <w:r>
                    <w:rPr>
                      <w:b/>
                      <w:bCs/>
                      <w:color w:val="auto"/>
                      <w:sz w:val="21"/>
                      <w:szCs w:val="21"/>
                    </w:rPr>
                    <w:t>年评价指标</w:t>
                  </w:r>
                </w:p>
              </w:tc>
              <w:tc>
                <w:tcPr>
                  <w:tcW w:w="1215" w:type="dxa"/>
                  <w:noWrap w:val="0"/>
                  <w:vAlign w:val="center"/>
                </w:tcPr>
                <w:p w14:paraId="26DF2497">
                  <w:pPr>
                    <w:pStyle w:val="44"/>
                    <w:adjustRightInd w:val="0"/>
                    <w:snapToGrid w:val="0"/>
                    <w:rPr>
                      <w:b/>
                      <w:bCs/>
                      <w:color w:val="auto"/>
                      <w:sz w:val="21"/>
                      <w:szCs w:val="21"/>
                    </w:rPr>
                  </w:pPr>
                  <w:r>
                    <w:rPr>
                      <w:b/>
                      <w:bCs/>
                      <w:color w:val="auto"/>
                      <w:sz w:val="21"/>
                      <w:szCs w:val="21"/>
                    </w:rPr>
                    <w:t>评价标准</w:t>
                  </w:r>
                </w:p>
                <w:p w14:paraId="7136FE21">
                  <w:pPr>
                    <w:pStyle w:val="44"/>
                    <w:adjustRightInd w:val="0"/>
                    <w:snapToGrid w:val="0"/>
                    <w:rPr>
                      <w:b/>
                      <w:bCs/>
                      <w:color w:val="auto"/>
                      <w:sz w:val="21"/>
                      <w:szCs w:val="21"/>
                    </w:rPr>
                  </w:pPr>
                  <w:r>
                    <w:rPr>
                      <w:b/>
                      <w:bCs/>
                      <w:color w:val="auto"/>
                      <w:sz w:val="21"/>
                      <w:szCs w:val="21"/>
                    </w:rPr>
                    <w:t>（</w:t>
                  </w:r>
                  <w:r>
                    <w:rPr>
                      <w:rFonts w:hint="eastAsia"/>
                      <w:b/>
                      <w:bCs/>
                      <w:color w:val="auto"/>
                      <w:sz w:val="21"/>
                      <w:szCs w:val="21"/>
                    </w:rPr>
                    <w:t>μg/m</w:t>
                  </w:r>
                  <w:r>
                    <w:rPr>
                      <w:rFonts w:hint="eastAsia"/>
                      <w:b/>
                      <w:bCs/>
                      <w:color w:val="auto"/>
                      <w:sz w:val="21"/>
                      <w:szCs w:val="21"/>
                      <w:vertAlign w:val="superscript"/>
                    </w:rPr>
                    <w:t>3</w:t>
                  </w:r>
                  <w:r>
                    <w:rPr>
                      <w:b/>
                      <w:bCs/>
                      <w:color w:val="auto"/>
                      <w:sz w:val="21"/>
                      <w:szCs w:val="21"/>
                    </w:rPr>
                    <w:t>）</w:t>
                  </w:r>
                </w:p>
              </w:tc>
              <w:tc>
                <w:tcPr>
                  <w:tcW w:w="1260" w:type="dxa"/>
                  <w:noWrap w:val="0"/>
                  <w:vAlign w:val="center"/>
                </w:tcPr>
                <w:p w14:paraId="3EC6318A">
                  <w:pPr>
                    <w:pStyle w:val="44"/>
                    <w:adjustRightInd w:val="0"/>
                    <w:snapToGrid w:val="0"/>
                    <w:rPr>
                      <w:b/>
                      <w:bCs/>
                      <w:color w:val="auto"/>
                      <w:sz w:val="21"/>
                      <w:szCs w:val="21"/>
                    </w:rPr>
                  </w:pPr>
                  <w:r>
                    <w:rPr>
                      <w:b/>
                      <w:bCs/>
                      <w:color w:val="auto"/>
                      <w:sz w:val="21"/>
                      <w:szCs w:val="21"/>
                    </w:rPr>
                    <w:t>现状浓度（</w:t>
                  </w:r>
                  <w:r>
                    <w:rPr>
                      <w:rFonts w:hint="eastAsia"/>
                      <w:b/>
                      <w:bCs/>
                      <w:color w:val="auto"/>
                      <w:sz w:val="21"/>
                      <w:szCs w:val="21"/>
                    </w:rPr>
                    <w:t>μg/m</w:t>
                  </w:r>
                  <w:r>
                    <w:rPr>
                      <w:rFonts w:hint="eastAsia"/>
                      <w:b/>
                      <w:bCs/>
                      <w:color w:val="auto"/>
                      <w:sz w:val="21"/>
                      <w:szCs w:val="21"/>
                      <w:vertAlign w:val="superscript"/>
                    </w:rPr>
                    <w:t>3</w:t>
                  </w:r>
                  <w:r>
                    <w:rPr>
                      <w:b/>
                      <w:bCs/>
                      <w:color w:val="auto"/>
                      <w:sz w:val="21"/>
                      <w:szCs w:val="21"/>
                    </w:rPr>
                    <w:t>）</w:t>
                  </w:r>
                </w:p>
              </w:tc>
              <w:tc>
                <w:tcPr>
                  <w:tcW w:w="1350" w:type="dxa"/>
                  <w:noWrap w:val="0"/>
                  <w:vAlign w:val="center"/>
                </w:tcPr>
                <w:p w14:paraId="2BC21BEF">
                  <w:pPr>
                    <w:pStyle w:val="44"/>
                    <w:adjustRightInd w:val="0"/>
                    <w:snapToGrid w:val="0"/>
                    <w:rPr>
                      <w:b/>
                      <w:bCs/>
                      <w:color w:val="auto"/>
                      <w:sz w:val="21"/>
                      <w:szCs w:val="21"/>
                    </w:rPr>
                  </w:pPr>
                  <w:r>
                    <w:rPr>
                      <w:b/>
                      <w:bCs/>
                      <w:color w:val="auto"/>
                      <w:sz w:val="21"/>
                      <w:szCs w:val="21"/>
                    </w:rPr>
                    <w:t>最大浓度占标率（%）</w:t>
                  </w:r>
                </w:p>
              </w:tc>
              <w:tc>
                <w:tcPr>
                  <w:tcW w:w="750" w:type="dxa"/>
                  <w:noWrap w:val="0"/>
                  <w:vAlign w:val="center"/>
                </w:tcPr>
                <w:p w14:paraId="540010CC">
                  <w:pPr>
                    <w:pStyle w:val="44"/>
                    <w:adjustRightInd w:val="0"/>
                    <w:snapToGrid w:val="0"/>
                    <w:rPr>
                      <w:b/>
                      <w:bCs/>
                      <w:color w:val="auto"/>
                      <w:sz w:val="21"/>
                      <w:szCs w:val="21"/>
                    </w:rPr>
                  </w:pPr>
                  <w:r>
                    <w:rPr>
                      <w:b/>
                      <w:bCs/>
                      <w:color w:val="auto"/>
                      <w:sz w:val="21"/>
                      <w:szCs w:val="21"/>
                    </w:rPr>
                    <w:t>达标</w:t>
                  </w:r>
                </w:p>
                <w:p w14:paraId="10FE3E4F">
                  <w:pPr>
                    <w:pStyle w:val="44"/>
                    <w:adjustRightInd w:val="0"/>
                    <w:snapToGrid w:val="0"/>
                    <w:rPr>
                      <w:b/>
                      <w:bCs/>
                      <w:color w:val="auto"/>
                      <w:sz w:val="21"/>
                      <w:szCs w:val="21"/>
                    </w:rPr>
                  </w:pPr>
                  <w:r>
                    <w:rPr>
                      <w:b/>
                      <w:bCs/>
                      <w:color w:val="auto"/>
                      <w:sz w:val="21"/>
                      <w:szCs w:val="21"/>
                    </w:rPr>
                    <w:t>情况</w:t>
                  </w:r>
                </w:p>
              </w:tc>
              <w:tc>
                <w:tcPr>
                  <w:tcW w:w="675" w:type="dxa"/>
                  <w:noWrap w:val="0"/>
                  <w:vAlign w:val="center"/>
                </w:tcPr>
                <w:p w14:paraId="0DD30827">
                  <w:pPr>
                    <w:pStyle w:val="44"/>
                    <w:adjustRightInd w:val="0"/>
                    <w:snapToGrid w:val="0"/>
                    <w:rPr>
                      <w:b/>
                      <w:bCs/>
                      <w:color w:val="auto"/>
                      <w:sz w:val="21"/>
                      <w:szCs w:val="21"/>
                    </w:rPr>
                  </w:pPr>
                  <w:r>
                    <w:rPr>
                      <w:b/>
                      <w:bCs/>
                      <w:color w:val="auto"/>
                      <w:sz w:val="21"/>
                      <w:szCs w:val="21"/>
                    </w:rPr>
                    <w:t>标准</w:t>
                  </w:r>
                </w:p>
                <w:p w14:paraId="55766E66">
                  <w:pPr>
                    <w:pStyle w:val="44"/>
                    <w:adjustRightInd w:val="0"/>
                    <w:snapToGrid w:val="0"/>
                    <w:rPr>
                      <w:b/>
                      <w:bCs/>
                      <w:color w:val="auto"/>
                      <w:sz w:val="21"/>
                      <w:szCs w:val="21"/>
                    </w:rPr>
                  </w:pPr>
                  <w:r>
                    <w:rPr>
                      <w:b/>
                      <w:bCs/>
                      <w:color w:val="auto"/>
                      <w:sz w:val="21"/>
                      <w:szCs w:val="21"/>
                    </w:rPr>
                    <w:t>来源</w:t>
                  </w:r>
                </w:p>
              </w:tc>
            </w:tr>
            <w:tr w14:paraId="1F18A9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38" w:type="dxa"/>
                  <w:vMerge w:val="restart"/>
                  <w:noWrap w:val="0"/>
                  <w:vAlign w:val="center"/>
                </w:tcPr>
                <w:p w14:paraId="2886C575">
                  <w:pPr>
                    <w:pStyle w:val="44"/>
                    <w:adjustRightInd w:val="0"/>
                    <w:snapToGrid w:val="0"/>
                    <w:rPr>
                      <w:color w:val="auto"/>
                      <w:sz w:val="21"/>
                      <w:szCs w:val="21"/>
                    </w:rPr>
                  </w:pPr>
                  <w:r>
                    <w:rPr>
                      <w:rFonts w:hint="eastAsia"/>
                      <w:color w:val="auto"/>
                      <w:sz w:val="21"/>
                      <w:szCs w:val="21"/>
                    </w:rPr>
                    <w:t>陈仓区</w:t>
                  </w:r>
                </w:p>
              </w:tc>
              <w:tc>
                <w:tcPr>
                  <w:tcW w:w="690" w:type="dxa"/>
                  <w:noWrap w:val="0"/>
                  <w:vAlign w:val="center"/>
                </w:tcPr>
                <w:p w14:paraId="49791EBE">
                  <w:pPr>
                    <w:pStyle w:val="44"/>
                    <w:adjustRightInd w:val="0"/>
                    <w:snapToGrid w:val="0"/>
                    <w:rPr>
                      <w:color w:val="auto"/>
                      <w:sz w:val="21"/>
                      <w:szCs w:val="21"/>
                    </w:rPr>
                  </w:pPr>
                  <w:r>
                    <w:rPr>
                      <w:color w:val="auto"/>
                      <w:sz w:val="21"/>
                      <w:szCs w:val="21"/>
                    </w:rPr>
                    <w:t>PM</w:t>
                  </w:r>
                  <w:r>
                    <w:rPr>
                      <w:color w:val="auto"/>
                      <w:sz w:val="21"/>
                      <w:szCs w:val="21"/>
                      <w:vertAlign w:val="subscript"/>
                    </w:rPr>
                    <w:t>2.5</w:t>
                  </w:r>
                </w:p>
              </w:tc>
              <w:tc>
                <w:tcPr>
                  <w:tcW w:w="1440" w:type="dxa"/>
                  <w:noWrap w:val="0"/>
                  <w:vAlign w:val="center"/>
                </w:tcPr>
                <w:p w14:paraId="13EF6987">
                  <w:pPr>
                    <w:pStyle w:val="44"/>
                    <w:adjustRightInd w:val="0"/>
                    <w:snapToGrid w:val="0"/>
                    <w:rPr>
                      <w:color w:val="auto"/>
                      <w:sz w:val="21"/>
                      <w:szCs w:val="21"/>
                    </w:rPr>
                  </w:pPr>
                  <w:r>
                    <w:rPr>
                      <w:color w:val="auto"/>
                      <w:sz w:val="21"/>
                      <w:szCs w:val="21"/>
                    </w:rPr>
                    <w:t>年平均质量浓度</w:t>
                  </w:r>
                </w:p>
              </w:tc>
              <w:tc>
                <w:tcPr>
                  <w:tcW w:w="1215" w:type="dxa"/>
                  <w:noWrap w:val="0"/>
                  <w:vAlign w:val="center"/>
                </w:tcPr>
                <w:p w14:paraId="2405BB1D">
                  <w:pPr>
                    <w:pStyle w:val="44"/>
                    <w:adjustRightInd w:val="0"/>
                    <w:snapToGrid w:val="0"/>
                    <w:rPr>
                      <w:color w:val="auto"/>
                      <w:sz w:val="21"/>
                      <w:szCs w:val="21"/>
                    </w:rPr>
                  </w:pPr>
                  <w:r>
                    <w:rPr>
                      <w:color w:val="auto"/>
                      <w:sz w:val="21"/>
                      <w:szCs w:val="21"/>
                    </w:rPr>
                    <w:t>35</w:t>
                  </w:r>
                </w:p>
              </w:tc>
              <w:tc>
                <w:tcPr>
                  <w:tcW w:w="1260" w:type="dxa"/>
                  <w:noWrap w:val="0"/>
                  <w:vAlign w:val="center"/>
                </w:tcPr>
                <w:p w14:paraId="2ACDE3A8">
                  <w:pPr>
                    <w:pStyle w:val="44"/>
                    <w:adjustRightInd w:val="0"/>
                    <w:snapToGrid w:val="0"/>
                    <w:rPr>
                      <w:color w:val="auto"/>
                      <w:sz w:val="21"/>
                      <w:szCs w:val="21"/>
                    </w:rPr>
                  </w:pPr>
                  <w:r>
                    <w:rPr>
                      <w:rFonts w:hint="eastAsia"/>
                      <w:color w:val="auto"/>
                      <w:sz w:val="21"/>
                      <w:szCs w:val="21"/>
                    </w:rPr>
                    <w:t>49</w:t>
                  </w:r>
                </w:p>
              </w:tc>
              <w:tc>
                <w:tcPr>
                  <w:tcW w:w="1350" w:type="dxa"/>
                  <w:noWrap w:val="0"/>
                  <w:vAlign w:val="center"/>
                </w:tcPr>
                <w:p w14:paraId="43558E84">
                  <w:pPr>
                    <w:pStyle w:val="44"/>
                    <w:adjustRightInd w:val="0"/>
                    <w:snapToGrid w:val="0"/>
                    <w:rPr>
                      <w:color w:val="auto"/>
                      <w:sz w:val="21"/>
                      <w:szCs w:val="21"/>
                    </w:rPr>
                  </w:pPr>
                  <w:r>
                    <w:rPr>
                      <w:color w:val="auto"/>
                      <w:sz w:val="21"/>
                      <w:szCs w:val="21"/>
                    </w:rPr>
                    <w:t>1</w:t>
                  </w:r>
                  <w:r>
                    <w:rPr>
                      <w:rFonts w:hint="eastAsia"/>
                      <w:color w:val="auto"/>
                      <w:sz w:val="21"/>
                      <w:szCs w:val="21"/>
                    </w:rPr>
                    <w:t>40</w:t>
                  </w:r>
                </w:p>
              </w:tc>
              <w:tc>
                <w:tcPr>
                  <w:tcW w:w="750" w:type="dxa"/>
                  <w:noWrap w:val="0"/>
                  <w:vAlign w:val="center"/>
                </w:tcPr>
                <w:p w14:paraId="423E520A">
                  <w:pPr>
                    <w:pStyle w:val="44"/>
                    <w:adjustRightInd w:val="0"/>
                    <w:snapToGrid w:val="0"/>
                    <w:rPr>
                      <w:color w:val="auto"/>
                      <w:sz w:val="21"/>
                      <w:szCs w:val="21"/>
                    </w:rPr>
                  </w:pPr>
                  <w:r>
                    <w:rPr>
                      <w:rFonts w:hint="eastAsia"/>
                      <w:color w:val="auto"/>
                      <w:sz w:val="21"/>
                      <w:szCs w:val="21"/>
                    </w:rPr>
                    <w:t>不</w:t>
                  </w:r>
                  <w:r>
                    <w:rPr>
                      <w:color w:val="auto"/>
                      <w:sz w:val="21"/>
                      <w:szCs w:val="21"/>
                    </w:rPr>
                    <w:t>达标</w:t>
                  </w:r>
                </w:p>
              </w:tc>
              <w:tc>
                <w:tcPr>
                  <w:tcW w:w="675" w:type="dxa"/>
                  <w:vMerge w:val="restart"/>
                  <w:noWrap w:val="0"/>
                  <w:vAlign w:val="center"/>
                </w:tcPr>
                <w:p w14:paraId="059EFC06">
                  <w:pPr>
                    <w:pStyle w:val="44"/>
                    <w:adjustRightInd w:val="0"/>
                    <w:snapToGrid w:val="0"/>
                    <w:rPr>
                      <w:color w:val="auto"/>
                      <w:sz w:val="21"/>
                      <w:szCs w:val="21"/>
                    </w:rPr>
                  </w:pPr>
                  <w:r>
                    <w:rPr>
                      <w:color w:val="auto"/>
                      <w:sz w:val="21"/>
                      <w:szCs w:val="21"/>
                    </w:rPr>
                    <w:t>《环境空气质量标准》（GB3095-2012）及其修改单</w:t>
                  </w:r>
                </w:p>
              </w:tc>
            </w:tr>
            <w:tr w14:paraId="29C030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38" w:type="dxa"/>
                  <w:vMerge w:val="continue"/>
                  <w:noWrap w:val="0"/>
                  <w:vAlign w:val="center"/>
                </w:tcPr>
                <w:p w14:paraId="42C69B62">
                  <w:pPr>
                    <w:pStyle w:val="44"/>
                    <w:adjustRightInd w:val="0"/>
                    <w:snapToGrid w:val="0"/>
                    <w:rPr>
                      <w:color w:val="auto"/>
                      <w:sz w:val="21"/>
                      <w:szCs w:val="21"/>
                    </w:rPr>
                  </w:pPr>
                </w:p>
              </w:tc>
              <w:tc>
                <w:tcPr>
                  <w:tcW w:w="690" w:type="dxa"/>
                  <w:noWrap w:val="0"/>
                  <w:vAlign w:val="center"/>
                </w:tcPr>
                <w:p w14:paraId="5514B8EC">
                  <w:pPr>
                    <w:pStyle w:val="44"/>
                    <w:adjustRightInd w:val="0"/>
                    <w:snapToGrid w:val="0"/>
                    <w:rPr>
                      <w:color w:val="auto"/>
                      <w:sz w:val="21"/>
                      <w:szCs w:val="21"/>
                    </w:rPr>
                  </w:pPr>
                  <w:r>
                    <w:rPr>
                      <w:color w:val="auto"/>
                      <w:sz w:val="21"/>
                      <w:szCs w:val="21"/>
                    </w:rPr>
                    <w:t>PM</w:t>
                  </w:r>
                  <w:r>
                    <w:rPr>
                      <w:color w:val="auto"/>
                      <w:sz w:val="21"/>
                      <w:szCs w:val="21"/>
                      <w:vertAlign w:val="subscript"/>
                    </w:rPr>
                    <w:t>10</w:t>
                  </w:r>
                </w:p>
              </w:tc>
              <w:tc>
                <w:tcPr>
                  <w:tcW w:w="1440" w:type="dxa"/>
                  <w:noWrap w:val="0"/>
                  <w:vAlign w:val="center"/>
                </w:tcPr>
                <w:p w14:paraId="369526C4">
                  <w:pPr>
                    <w:pStyle w:val="44"/>
                    <w:adjustRightInd w:val="0"/>
                    <w:snapToGrid w:val="0"/>
                    <w:rPr>
                      <w:color w:val="auto"/>
                      <w:sz w:val="21"/>
                      <w:szCs w:val="21"/>
                    </w:rPr>
                  </w:pPr>
                  <w:r>
                    <w:rPr>
                      <w:color w:val="auto"/>
                      <w:sz w:val="21"/>
                      <w:szCs w:val="21"/>
                    </w:rPr>
                    <w:t>年平均质量浓度</w:t>
                  </w:r>
                </w:p>
              </w:tc>
              <w:tc>
                <w:tcPr>
                  <w:tcW w:w="1215" w:type="dxa"/>
                  <w:noWrap w:val="0"/>
                  <w:vAlign w:val="center"/>
                </w:tcPr>
                <w:p w14:paraId="37223EC6">
                  <w:pPr>
                    <w:pStyle w:val="44"/>
                    <w:adjustRightInd w:val="0"/>
                    <w:snapToGrid w:val="0"/>
                    <w:rPr>
                      <w:color w:val="auto"/>
                      <w:sz w:val="21"/>
                      <w:szCs w:val="21"/>
                    </w:rPr>
                  </w:pPr>
                  <w:r>
                    <w:rPr>
                      <w:color w:val="auto"/>
                      <w:sz w:val="21"/>
                      <w:szCs w:val="21"/>
                    </w:rPr>
                    <w:t>70</w:t>
                  </w:r>
                </w:p>
              </w:tc>
              <w:tc>
                <w:tcPr>
                  <w:tcW w:w="1260" w:type="dxa"/>
                  <w:noWrap w:val="0"/>
                  <w:vAlign w:val="center"/>
                </w:tcPr>
                <w:p w14:paraId="6019095C">
                  <w:pPr>
                    <w:pStyle w:val="44"/>
                    <w:adjustRightInd w:val="0"/>
                    <w:snapToGrid w:val="0"/>
                    <w:rPr>
                      <w:color w:val="auto"/>
                      <w:sz w:val="21"/>
                      <w:szCs w:val="21"/>
                    </w:rPr>
                  </w:pPr>
                  <w:r>
                    <w:rPr>
                      <w:rFonts w:hint="eastAsia"/>
                      <w:color w:val="auto"/>
                      <w:sz w:val="21"/>
                      <w:szCs w:val="21"/>
                    </w:rPr>
                    <w:t>82</w:t>
                  </w:r>
                </w:p>
              </w:tc>
              <w:tc>
                <w:tcPr>
                  <w:tcW w:w="1350" w:type="dxa"/>
                  <w:noWrap w:val="0"/>
                  <w:vAlign w:val="center"/>
                </w:tcPr>
                <w:p w14:paraId="19A5D055">
                  <w:pPr>
                    <w:pStyle w:val="44"/>
                    <w:adjustRightInd w:val="0"/>
                    <w:snapToGrid w:val="0"/>
                    <w:rPr>
                      <w:color w:val="auto"/>
                      <w:sz w:val="21"/>
                      <w:szCs w:val="21"/>
                    </w:rPr>
                  </w:pPr>
                  <w:r>
                    <w:rPr>
                      <w:color w:val="auto"/>
                      <w:sz w:val="21"/>
                      <w:szCs w:val="21"/>
                    </w:rPr>
                    <w:t>1</w:t>
                  </w:r>
                  <w:r>
                    <w:rPr>
                      <w:rFonts w:hint="eastAsia"/>
                      <w:color w:val="auto"/>
                      <w:sz w:val="21"/>
                      <w:szCs w:val="21"/>
                    </w:rPr>
                    <w:t>17.1</w:t>
                  </w:r>
                </w:p>
              </w:tc>
              <w:tc>
                <w:tcPr>
                  <w:tcW w:w="750" w:type="dxa"/>
                  <w:noWrap w:val="0"/>
                  <w:vAlign w:val="center"/>
                </w:tcPr>
                <w:p w14:paraId="063F7457">
                  <w:pPr>
                    <w:pStyle w:val="44"/>
                    <w:adjustRightInd w:val="0"/>
                    <w:snapToGrid w:val="0"/>
                    <w:rPr>
                      <w:color w:val="auto"/>
                      <w:sz w:val="21"/>
                      <w:szCs w:val="21"/>
                    </w:rPr>
                  </w:pPr>
                  <w:r>
                    <w:rPr>
                      <w:rFonts w:hint="eastAsia"/>
                      <w:color w:val="auto"/>
                      <w:sz w:val="21"/>
                      <w:szCs w:val="21"/>
                    </w:rPr>
                    <w:t>不</w:t>
                  </w:r>
                  <w:r>
                    <w:rPr>
                      <w:color w:val="auto"/>
                      <w:sz w:val="21"/>
                      <w:szCs w:val="21"/>
                    </w:rPr>
                    <w:t>达标</w:t>
                  </w:r>
                </w:p>
              </w:tc>
              <w:tc>
                <w:tcPr>
                  <w:tcW w:w="675" w:type="dxa"/>
                  <w:vMerge w:val="continue"/>
                  <w:noWrap w:val="0"/>
                  <w:vAlign w:val="center"/>
                </w:tcPr>
                <w:p w14:paraId="1EB2E556">
                  <w:pPr>
                    <w:pStyle w:val="44"/>
                    <w:adjustRightInd w:val="0"/>
                    <w:snapToGrid w:val="0"/>
                    <w:rPr>
                      <w:color w:val="auto"/>
                      <w:sz w:val="21"/>
                      <w:szCs w:val="21"/>
                    </w:rPr>
                  </w:pPr>
                </w:p>
              </w:tc>
            </w:tr>
            <w:tr w14:paraId="36E176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738" w:type="dxa"/>
                  <w:vMerge w:val="continue"/>
                  <w:noWrap w:val="0"/>
                  <w:vAlign w:val="center"/>
                </w:tcPr>
                <w:p w14:paraId="7303FC5E">
                  <w:pPr>
                    <w:pStyle w:val="44"/>
                    <w:adjustRightInd w:val="0"/>
                    <w:snapToGrid w:val="0"/>
                    <w:rPr>
                      <w:color w:val="auto"/>
                      <w:sz w:val="21"/>
                      <w:szCs w:val="21"/>
                    </w:rPr>
                  </w:pPr>
                </w:p>
              </w:tc>
              <w:tc>
                <w:tcPr>
                  <w:tcW w:w="690" w:type="dxa"/>
                  <w:noWrap w:val="0"/>
                  <w:vAlign w:val="center"/>
                </w:tcPr>
                <w:p w14:paraId="67750FD8">
                  <w:pPr>
                    <w:pStyle w:val="44"/>
                    <w:adjustRightInd w:val="0"/>
                    <w:snapToGrid w:val="0"/>
                    <w:rPr>
                      <w:color w:val="auto"/>
                      <w:sz w:val="21"/>
                      <w:szCs w:val="21"/>
                    </w:rPr>
                  </w:pPr>
                  <w:r>
                    <w:rPr>
                      <w:color w:val="auto"/>
                      <w:sz w:val="21"/>
                      <w:szCs w:val="21"/>
                    </w:rPr>
                    <w:t>SO</w:t>
                  </w:r>
                  <w:r>
                    <w:rPr>
                      <w:color w:val="auto"/>
                      <w:sz w:val="21"/>
                      <w:szCs w:val="21"/>
                      <w:vertAlign w:val="subscript"/>
                    </w:rPr>
                    <w:t>2</w:t>
                  </w:r>
                </w:p>
              </w:tc>
              <w:tc>
                <w:tcPr>
                  <w:tcW w:w="1440" w:type="dxa"/>
                  <w:noWrap w:val="0"/>
                  <w:vAlign w:val="center"/>
                </w:tcPr>
                <w:p w14:paraId="2B1092CB">
                  <w:pPr>
                    <w:pStyle w:val="44"/>
                    <w:adjustRightInd w:val="0"/>
                    <w:snapToGrid w:val="0"/>
                    <w:rPr>
                      <w:color w:val="auto"/>
                      <w:sz w:val="21"/>
                      <w:szCs w:val="21"/>
                    </w:rPr>
                  </w:pPr>
                  <w:r>
                    <w:rPr>
                      <w:color w:val="auto"/>
                      <w:sz w:val="21"/>
                      <w:szCs w:val="21"/>
                    </w:rPr>
                    <w:t>年平均质量浓度</w:t>
                  </w:r>
                </w:p>
              </w:tc>
              <w:tc>
                <w:tcPr>
                  <w:tcW w:w="1215" w:type="dxa"/>
                  <w:noWrap w:val="0"/>
                  <w:vAlign w:val="center"/>
                </w:tcPr>
                <w:p w14:paraId="1B152593">
                  <w:pPr>
                    <w:pStyle w:val="44"/>
                    <w:adjustRightInd w:val="0"/>
                    <w:snapToGrid w:val="0"/>
                    <w:rPr>
                      <w:color w:val="auto"/>
                      <w:sz w:val="21"/>
                      <w:szCs w:val="21"/>
                    </w:rPr>
                  </w:pPr>
                  <w:r>
                    <w:rPr>
                      <w:color w:val="auto"/>
                      <w:sz w:val="21"/>
                      <w:szCs w:val="21"/>
                    </w:rPr>
                    <w:t>60</w:t>
                  </w:r>
                </w:p>
              </w:tc>
              <w:tc>
                <w:tcPr>
                  <w:tcW w:w="1260" w:type="dxa"/>
                  <w:noWrap w:val="0"/>
                  <w:vAlign w:val="center"/>
                </w:tcPr>
                <w:p w14:paraId="40F2B292">
                  <w:pPr>
                    <w:pStyle w:val="44"/>
                    <w:adjustRightInd w:val="0"/>
                    <w:snapToGrid w:val="0"/>
                    <w:rPr>
                      <w:color w:val="auto"/>
                      <w:sz w:val="21"/>
                      <w:szCs w:val="21"/>
                    </w:rPr>
                  </w:pPr>
                  <w:r>
                    <w:rPr>
                      <w:rFonts w:hint="eastAsia"/>
                      <w:color w:val="auto"/>
                      <w:sz w:val="21"/>
                      <w:szCs w:val="21"/>
                    </w:rPr>
                    <w:t>14</w:t>
                  </w:r>
                </w:p>
              </w:tc>
              <w:tc>
                <w:tcPr>
                  <w:tcW w:w="1350" w:type="dxa"/>
                  <w:noWrap w:val="0"/>
                  <w:vAlign w:val="center"/>
                </w:tcPr>
                <w:p w14:paraId="23917D49">
                  <w:pPr>
                    <w:pStyle w:val="44"/>
                    <w:adjustRightInd w:val="0"/>
                    <w:snapToGrid w:val="0"/>
                    <w:rPr>
                      <w:color w:val="auto"/>
                      <w:sz w:val="21"/>
                      <w:szCs w:val="21"/>
                    </w:rPr>
                  </w:pPr>
                  <w:r>
                    <w:rPr>
                      <w:color w:val="auto"/>
                      <w:sz w:val="21"/>
                      <w:szCs w:val="21"/>
                    </w:rPr>
                    <w:t>25.0</w:t>
                  </w:r>
                </w:p>
              </w:tc>
              <w:tc>
                <w:tcPr>
                  <w:tcW w:w="750" w:type="dxa"/>
                  <w:noWrap w:val="0"/>
                  <w:vAlign w:val="center"/>
                </w:tcPr>
                <w:p w14:paraId="792A66A3">
                  <w:pPr>
                    <w:pStyle w:val="44"/>
                    <w:adjustRightInd w:val="0"/>
                    <w:snapToGrid w:val="0"/>
                    <w:rPr>
                      <w:color w:val="auto"/>
                      <w:sz w:val="21"/>
                      <w:szCs w:val="21"/>
                    </w:rPr>
                  </w:pPr>
                  <w:r>
                    <w:rPr>
                      <w:color w:val="auto"/>
                      <w:sz w:val="21"/>
                      <w:szCs w:val="21"/>
                    </w:rPr>
                    <w:t>达标</w:t>
                  </w:r>
                </w:p>
              </w:tc>
              <w:tc>
                <w:tcPr>
                  <w:tcW w:w="675" w:type="dxa"/>
                  <w:vMerge w:val="continue"/>
                  <w:noWrap w:val="0"/>
                  <w:vAlign w:val="center"/>
                </w:tcPr>
                <w:p w14:paraId="50DAC69B">
                  <w:pPr>
                    <w:pStyle w:val="44"/>
                    <w:adjustRightInd w:val="0"/>
                    <w:snapToGrid w:val="0"/>
                    <w:rPr>
                      <w:color w:val="auto"/>
                      <w:sz w:val="21"/>
                      <w:szCs w:val="21"/>
                    </w:rPr>
                  </w:pPr>
                </w:p>
              </w:tc>
            </w:tr>
            <w:tr w14:paraId="259283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738" w:type="dxa"/>
                  <w:vMerge w:val="continue"/>
                  <w:noWrap w:val="0"/>
                  <w:vAlign w:val="center"/>
                </w:tcPr>
                <w:p w14:paraId="520E755B">
                  <w:pPr>
                    <w:pStyle w:val="44"/>
                    <w:adjustRightInd w:val="0"/>
                    <w:snapToGrid w:val="0"/>
                    <w:rPr>
                      <w:color w:val="auto"/>
                      <w:sz w:val="21"/>
                      <w:szCs w:val="21"/>
                    </w:rPr>
                  </w:pPr>
                </w:p>
              </w:tc>
              <w:tc>
                <w:tcPr>
                  <w:tcW w:w="690" w:type="dxa"/>
                  <w:noWrap w:val="0"/>
                  <w:vAlign w:val="center"/>
                </w:tcPr>
                <w:p w14:paraId="6151B41B">
                  <w:pPr>
                    <w:pStyle w:val="44"/>
                    <w:adjustRightInd w:val="0"/>
                    <w:snapToGrid w:val="0"/>
                    <w:rPr>
                      <w:color w:val="auto"/>
                      <w:sz w:val="21"/>
                      <w:szCs w:val="21"/>
                    </w:rPr>
                  </w:pPr>
                  <w:r>
                    <w:rPr>
                      <w:color w:val="auto"/>
                      <w:sz w:val="21"/>
                      <w:szCs w:val="21"/>
                    </w:rPr>
                    <w:t>NO</w:t>
                  </w:r>
                  <w:r>
                    <w:rPr>
                      <w:color w:val="auto"/>
                      <w:sz w:val="21"/>
                      <w:szCs w:val="21"/>
                      <w:vertAlign w:val="subscript"/>
                    </w:rPr>
                    <w:t>2</w:t>
                  </w:r>
                </w:p>
              </w:tc>
              <w:tc>
                <w:tcPr>
                  <w:tcW w:w="1440" w:type="dxa"/>
                  <w:noWrap w:val="0"/>
                  <w:vAlign w:val="center"/>
                </w:tcPr>
                <w:p w14:paraId="507B38EC">
                  <w:pPr>
                    <w:pStyle w:val="44"/>
                    <w:adjustRightInd w:val="0"/>
                    <w:snapToGrid w:val="0"/>
                    <w:rPr>
                      <w:color w:val="auto"/>
                      <w:sz w:val="21"/>
                      <w:szCs w:val="21"/>
                    </w:rPr>
                  </w:pPr>
                  <w:r>
                    <w:rPr>
                      <w:color w:val="auto"/>
                      <w:sz w:val="21"/>
                      <w:szCs w:val="21"/>
                    </w:rPr>
                    <w:t>年平均质量浓度</w:t>
                  </w:r>
                </w:p>
              </w:tc>
              <w:tc>
                <w:tcPr>
                  <w:tcW w:w="1215" w:type="dxa"/>
                  <w:noWrap w:val="0"/>
                  <w:vAlign w:val="center"/>
                </w:tcPr>
                <w:p w14:paraId="27C3498D">
                  <w:pPr>
                    <w:pStyle w:val="44"/>
                    <w:adjustRightInd w:val="0"/>
                    <w:snapToGrid w:val="0"/>
                    <w:rPr>
                      <w:color w:val="auto"/>
                      <w:sz w:val="21"/>
                      <w:szCs w:val="21"/>
                    </w:rPr>
                  </w:pPr>
                  <w:r>
                    <w:rPr>
                      <w:color w:val="auto"/>
                      <w:sz w:val="21"/>
                      <w:szCs w:val="21"/>
                    </w:rPr>
                    <w:t>40</w:t>
                  </w:r>
                </w:p>
              </w:tc>
              <w:tc>
                <w:tcPr>
                  <w:tcW w:w="1260" w:type="dxa"/>
                  <w:noWrap w:val="0"/>
                  <w:vAlign w:val="center"/>
                </w:tcPr>
                <w:p w14:paraId="4C7742C2">
                  <w:pPr>
                    <w:pStyle w:val="44"/>
                    <w:adjustRightInd w:val="0"/>
                    <w:snapToGrid w:val="0"/>
                    <w:rPr>
                      <w:color w:val="auto"/>
                      <w:sz w:val="21"/>
                      <w:szCs w:val="21"/>
                    </w:rPr>
                  </w:pPr>
                  <w:r>
                    <w:rPr>
                      <w:rFonts w:hint="eastAsia"/>
                      <w:color w:val="auto"/>
                      <w:sz w:val="21"/>
                      <w:szCs w:val="21"/>
                    </w:rPr>
                    <w:t>34</w:t>
                  </w:r>
                </w:p>
              </w:tc>
              <w:tc>
                <w:tcPr>
                  <w:tcW w:w="1350" w:type="dxa"/>
                  <w:noWrap w:val="0"/>
                  <w:vAlign w:val="center"/>
                </w:tcPr>
                <w:p w14:paraId="67980672">
                  <w:pPr>
                    <w:pStyle w:val="44"/>
                    <w:adjustRightInd w:val="0"/>
                    <w:snapToGrid w:val="0"/>
                    <w:rPr>
                      <w:color w:val="auto"/>
                      <w:sz w:val="21"/>
                      <w:szCs w:val="21"/>
                    </w:rPr>
                  </w:pPr>
                  <w:r>
                    <w:rPr>
                      <w:color w:val="auto"/>
                      <w:sz w:val="21"/>
                      <w:szCs w:val="21"/>
                    </w:rPr>
                    <w:t>85</w:t>
                  </w:r>
                </w:p>
              </w:tc>
              <w:tc>
                <w:tcPr>
                  <w:tcW w:w="750" w:type="dxa"/>
                  <w:noWrap w:val="0"/>
                  <w:vAlign w:val="center"/>
                </w:tcPr>
                <w:p w14:paraId="6475F295">
                  <w:pPr>
                    <w:pStyle w:val="44"/>
                    <w:adjustRightInd w:val="0"/>
                    <w:snapToGrid w:val="0"/>
                    <w:rPr>
                      <w:color w:val="auto"/>
                      <w:sz w:val="21"/>
                      <w:szCs w:val="21"/>
                    </w:rPr>
                  </w:pPr>
                  <w:r>
                    <w:rPr>
                      <w:color w:val="auto"/>
                      <w:sz w:val="21"/>
                      <w:szCs w:val="21"/>
                    </w:rPr>
                    <w:t>达标</w:t>
                  </w:r>
                </w:p>
              </w:tc>
              <w:tc>
                <w:tcPr>
                  <w:tcW w:w="675" w:type="dxa"/>
                  <w:vMerge w:val="continue"/>
                  <w:noWrap w:val="0"/>
                  <w:vAlign w:val="center"/>
                </w:tcPr>
                <w:p w14:paraId="5DA00AB6">
                  <w:pPr>
                    <w:pStyle w:val="44"/>
                    <w:adjustRightInd w:val="0"/>
                    <w:snapToGrid w:val="0"/>
                    <w:rPr>
                      <w:color w:val="auto"/>
                      <w:sz w:val="21"/>
                      <w:szCs w:val="21"/>
                    </w:rPr>
                  </w:pPr>
                </w:p>
              </w:tc>
            </w:tr>
            <w:tr w14:paraId="0074D7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38" w:type="dxa"/>
                  <w:vMerge w:val="continue"/>
                  <w:noWrap w:val="0"/>
                  <w:vAlign w:val="center"/>
                </w:tcPr>
                <w:p w14:paraId="23F31702">
                  <w:pPr>
                    <w:pStyle w:val="44"/>
                    <w:adjustRightInd w:val="0"/>
                    <w:snapToGrid w:val="0"/>
                    <w:rPr>
                      <w:color w:val="auto"/>
                      <w:sz w:val="21"/>
                      <w:szCs w:val="21"/>
                    </w:rPr>
                  </w:pPr>
                </w:p>
              </w:tc>
              <w:tc>
                <w:tcPr>
                  <w:tcW w:w="690" w:type="dxa"/>
                  <w:noWrap w:val="0"/>
                  <w:vAlign w:val="center"/>
                </w:tcPr>
                <w:p w14:paraId="47D2CEDE">
                  <w:pPr>
                    <w:pStyle w:val="44"/>
                    <w:adjustRightInd w:val="0"/>
                    <w:snapToGrid w:val="0"/>
                    <w:rPr>
                      <w:color w:val="auto"/>
                      <w:sz w:val="21"/>
                      <w:szCs w:val="21"/>
                    </w:rPr>
                  </w:pPr>
                  <w:r>
                    <w:rPr>
                      <w:color w:val="auto"/>
                      <w:sz w:val="21"/>
                      <w:szCs w:val="21"/>
                    </w:rPr>
                    <w:t>CO</w:t>
                  </w:r>
                </w:p>
              </w:tc>
              <w:tc>
                <w:tcPr>
                  <w:tcW w:w="1440" w:type="dxa"/>
                  <w:noWrap w:val="0"/>
                  <w:vAlign w:val="center"/>
                </w:tcPr>
                <w:p w14:paraId="5F0DF6C0">
                  <w:pPr>
                    <w:pStyle w:val="44"/>
                    <w:adjustRightInd w:val="0"/>
                    <w:snapToGrid w:val="0"/>
                    <w:rPr>
                      <w:color w:val="auto"/>
                      <w:sz w:val="21"/>
                      <w:szCs w:val="21"/>
                    </w:rPr>
                  </w:pPr>
                  <w:r>
                    <w:rPr>
                      <w:color w:val="auto"/>
                      <w:sz w:val="21"/>
                      <w:szCs w:val="21"/>
                    </w:rPr>
                    <w:t>24小时平均浓度第95百分位数</w:t>
                  </w:r>
                </w:p>
              </w:tc>
              <w:tc>
                <w:tcPr>
                  <w:tcW w:w="1215" w:type="dxa"/>
                  <w:noWrap w:val="0"/>
                  <w:vAlign w:val="center"/>
                </w:tcPr>
                <w:p w14:paraId="1245E278">
                  <w:pPr>
                    <w:pStyle w:val="44"/>
                    <w:adjustRightInd w:val="0"/>
                    <w:snapToGrid w:val="0"/>
                    <w:rPr>
                      <w:color w:val="auto"/>
                      <w:sz w:val="21"/>
                      <w:szCs w:val="21"/>
                    </w:rPr>
                  </w:pPr>
                  <w:r>
                    <w:rPr>
                      <w:color w:val="auto"/>
                      <w:sz w:val="21"/>
                      <w:szCs w:val="21"/>
                    </w:rPr>
                    <w:t>4000</w:t>
                  </w:r>
                </w:p>
              </w:tc>
              <w:tc>
                <w:tcPr>
                  <w:tcW w:w="1260" w:type="dxa"/>
                  <w:noWrap w:val="0"/>
                  <w:vAlign w:val="center"/>
                </w:tcPr>
                <w:p w14:paraId="69C20611">
                  <w:pPr>
                    <w:pStyle w:val="44"/>
                    <w:adjustRightInd w:val="0"/>
                    <w:snapToGrid w:val="0"/>
                    <w:rPr>
                      <w:color w:val="auto"/>
                      <w:sz w:val="21"/>
                      <w:szCs w:val="21"/>
                    </w:rPr>
                  </w:pPr>
                  <w:r>
                    <w:rPr>
                      <w:color w:val="auto"/>
                      <w:sz w:val="21"/>
                      <w:szCs w:val="21"/>
                    </w:rPr>
                    <w:t>1600</w:t>
                  </w:r>
                </w:p>
              </w:tc>
              <w:tc>
                <w:tcPr>
                  <w:tcW w:w="1350" w:type="dxa"/>
                  <w:noWrap w:val="0"/>
                  <w:vAlign w:val="center"/>
                </w:tcPr>
                <w:p w14:paraId="40AB36DD">
                  <w:pPr>
                    <w:pStyle w:val="44"/>
                    <w:adjustRightInd w:val="0"/>
                    <w:snapToGrid w:val="0"/>
                    <w:rPr>
                      <w:color w:val="auto"/>
                      <w:sz w:val="21"/>
                      <w:szCs w:val="21"/>
                    </w:rPr>
                  </w:pPr>
                  <w:r>
                    <w:rPr>
                      <w:color w:val="auto"/>
                      <w:sz w:val="21"/>
                      <w:szCs w:val="21"/>
                    </w:rPr>
                    <w:t>40.0</w:t>
                  </w:r>
                </w:p>
              </w:tc>
              <w:tc>
                <w:tcPr>
                  <w:tcW w:w="750" w:type="dxa"/>
                  <w:noWrap w:val="0"/>
                  <w:vAlign w:val="center"/>
                </w:tcPr>
                <w:p w14:paraId="5D785F72">
                  <w:pPr>
                    <w:pStyle w:val="44"/>
                    <w:adjustRightInd w:val="0"/>
                    <w:snapToGrid w:val="0"/>
                    <w:rPr>
                      <w:color w:val="auto"/>
                      <w:sz w:val="21"/>
                      <w:szCs w:val="21"/>
                    </w:rPr>
                  </w:pPr>
                  <w:r>
                    <w:rPr>
                      <w:color w:val="auto"/>
                      <w:sz w:val="21"/>
                      <w:szCs w:val="21"/>
                    </w:rPr>
                    <w:t>达标</w:t>
                  </w:r>
                </w:p>
              </w:tc>
              <w:tc>
                <w:tcPr>
                  <w:tcW w:w="675" w:type="dxa"/>
                  <w:vMerge w:val="continue"/>
                  <w:noWrap w:val="0"/>
                  <w:vAlign w:val="center"/>
                </w:tcPr>
                <w:p w14:paraId="0F6ED78C">
                  <w:pPr>
                    <w:pStyle w:val="44"/>
                    <w:adjustRightInd w:val="0"/>
                    <w:snapToGrid w:val="0"/>
                    <w:rPr>
                      <w:color w:val="auto"/>
                      <w:sz w:val="21"/>
                      <w:szCs w:val="21"/>
                    </w:rPr>
                  </w:pPr>
                </w:p>
              </w:tc>
            </w:tr>
            <w:tr w14:paraId="578830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738" w:type="dxa"/>
                  <w:vMerge w:val="continue"/>
                  <w:noWrap w:val="0"/>
                  <w:vAlign w:val="center"/>
                </w:tcPr>
                <w:p w14:paraId="363FE46B">
                  <w:pPr>
                    <w:pStyle w:val="44"/>
                    <w:adjustRightInd w:val="0"/>
                    <w:snapToGrid w:val="0"/>
                    <w:rPr>
                      <w:color w:val="auto"/>
                      <w:sz w:val="21"/>
                      <w:szCs w:val="21"/>
                    </w:rPr>
                  </w:pPr>
                </w:p>
              </w:tc>
              <w:tc>
                <w:tcPr>
                  <w:tcW w:w="690" w:type="dxa"/>
                  <w:noWrap w:val="0"/>
                  <w:vAlign w:val="center"/>
                </w:tcPr>
                <w:p w14:paraId="0EAA4324">
                  <w:pPr>
                    <w:pStyle w:val="44"/>
                    <w:adjustRightInd w:val="0"/>
                    <w:snapToGrid w:val="0"/>
                    <w:rPr>
                      <w:color w:val="auto"/>
                      <w:sz w:val="21"/>
                      <w:szCs w:val="21"/>
                    </w:rPr>
                  </w:pPr>
                  <w:r>
                    <w:rPr>
                      <w:color w:val="auto"/>
                      <w:sz w:val="21"/>
                      <w:szCs w:val="21"/>
                    </w:rPr>
                    <w:t>O</w:t>
                  </w:r>
                  <w:r>
                    <w:rPr>
                      <w:color w:val="auto"/>
                      <w:sz w:val="21"/>
                      <w:szCs w:val="21"/>
                      <w:vertAlign w:val="subscript"/>
                    </w:rPr>
                    <w:t>3</w:t>
                  </w:r>
                </w:p>
              </w:tc>
              <w:tc>
                <w:tcPr>
                  <w:tcW w:w="1440" w:type="dxa"/>
                  <w:noWrap w:val="0"/>
                  <w:vAlign w:val="center"/>
                </w:tcPr>
                <w:p w14:paraId="28BA0A8B">
                  <w:pPr>
                    <w:pStyle w:val="44"/>
                    <w:adjustRightInd w:val="0"/>
                    <w:snapToGrid w:val="0"/>
                    <w:rPr>
                      <w:color w:val="auto"/>
                      <w:sz w:val="21"/>
                      <w:szCs w:val="21"/>
                    </w:rPr>
                  </w:pPr>
                  <w:r>
                    <w:rPr>
                      <w:color w:val="auto"/>
                      <w:sz w:val="21"/>
                      <w:szCs w:val="21"/>
                    </w:rPr>
                    <w:t>日最大8小时平均浓度第90百分位数</w:t>
                  </w:r>
                </w:p>
              </w:tc>
              <w:tc>
                <w:tcPr>
                  <w:tcW w:w="1215" w:type="dxa"/>
                  <w:noWrap w:val="0"/>
                  <w:vAlign w:val="center"/>
                </w:tcPr>
                <w:p w14:paraId="397C63F9">
                  <w:pPr>
                    <w:pStyle w:val="44"/>
                    <w:adjustRightInd w:val="0"/>
                    <w:snapToGrid w:val="0"/>
                    <w:rPr>
                      <w:color w:val="auto"/>
                      <w:sz w:val="21"/>
                      <w:szCs w:val="21"/>
                    </w:rPr>
                  </w:pPr>
                  <w:r>
                    <w:rPr>
                      <w:color w:val="auto"/>
                      <w:sz w:val="21"/>
                      <w:szCs w:val="21"/>
                    </w:rPr>
                    <w:t>160</w:t>
                  </w:r>
                </w:p>
              </w:tc>
              <w:tc>
                <w:tcPr>
                  <w:tcW w:w="1260" w:type="dxa"/>
                  <w:noWrap w:val="0"/>
                  <w:vAlign w:val="center"/>
                </w:tcPr>
                <w:p w14:paraId="12FF61F3">
                  <w:pPr>
                    <w:pStyle w:val="44"/>
                    <w:adjustRightInd w:val="0"/>
                    <w:snapToGrid w:val="0"/>
                    <w:rPr>
                      <w:color w:val="auto"/>
                      <w:sz w:val="21"/>
                      <w:szCs w:val="21"/>
                    </w:rPr>
                  </w:pPr>
                  <w:r>
                    <w:rPr>
                      <w:color w:val="auto"/>
                      <w:sz w:val="21"/>
                      <w:szCs w:val="21"/>
                    </w:rPr>
                    <w:t>1</w:t>
                  </w:r>
                  <w:r>
                    <w:rPr>
                      <w:rFonts w:hint="eastAsia"/>
                      <w:color w:val="auto"/>
                      <w:sz w:val="21"/>
                      <w:szCs w:val="21"/>
                    </w:rPr>
                    <w:t>60</w:t>
                  </w:r>
                </w:p>
              </w:tc>
              <w:tc>
                <w:tcPr>
                  <w:tcW w:w="1350" w:type="dxa"/>
                  <w:noWrap w:val="0"/>
                  <w:vAlign w:val="center"/>
                </w:tcPr>
                <w:p w14:paraId="1A00F5D5">
                  <w:pPr>
                    <w:pStyle w:val="44"/>
                    <w:adjustRightInd w:val="0"/>
                    <w:snapToGrid w:val="0"/>
                    <w:rPr>
                      <w:color w:val="auto"/>
                      <w:sz w:val="21"/>
                      <w:szCs w:val="21"/>
                    </w:rPr>
                  </w:pPr>
                  <w:r>
                    <w:rPr>
                      <w:rFonts w:hint="eastAsia"/>
                      <w:color w:val="auto"/>
                      <w:sz w:val="21"/>
                      <w:szCs w:val="21"/>
                    </w:rPr>
                    <w:t>100</w:t>
                  </w:r>
                </w:p>
              </w:tc>
              <w:tc>
                <w:tcPr>
                  <w:tcW w:w="750" w:type="dxa"/>
                  <w:noWrap w:val="0"/>
                  <w:vAlign w:val="center"/>
                </w:tcPr>
                <w:p w14:paraId="4215FC86">
                  <w:pPr>
                    <w:pStyle w:val="44"/>
                    <w:adjustRightInd w:val="0"/>
                    <w:snapToGrid w:val="0"/>
                    <w:rPr>
                      <w:color w:val="auto"/>
                      <w:sz w:val="21"/>
                      <w:szCs w:val="21"/>
                    </w:rPr>
                  </w:pPr>
                  <w:r>
                    <w:rPr>
                      <w:color w:val="auto"/>
                      <w:sz w:val="21"/>
                      <w:szCs w:val="21"/>
                    </w:rPr>
                    <w:t>达标</w:t>
                  </w:r>
                </w:p>
              </w:tc>
              <w:tc>
                <w:tcPr>
                  <w:tcW w:w="675" w:type="dxa"/>
                  <w:vMerge w:val="continue"/>
                  <w:noWrap w:val="0"/>
                  <w:vAlign w:val="center"/>
                </w:tcPr>
                <w:p w14:paraId="02735869">
                  <w:pPr>
                    <w:pStyle w:val="44"/>
                    <w:adjustRightInd w:val="0"/>
                    <w:snapToGrid w:val="0"/>
                    <w:rPr>
                      <w:color w:val="auto"/>
                      <w:sz w:val="21"/>
                      <w:szCs w:val="21"/>
                    </w:rPr>
                  </w:pPr>
                </w:p>
              </w:tc>
            </w:tr>
          </w:tbl>
          <w:p w14:paraId="0844A78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lang w:val="en-US" w:eastAsia="zh-CN"/>
                <w14:textFill>
                  <w14:solidFill>
                    <w14:schemeClr w14:val="tx1"/>
                  </w14:solidFill>
                </w14:textFill>
              </w:rPr>
              <w:t>由上述统计结果可知，宝鸡市陈仓区环境空气中SO2、NO2年平均质量浓度值、CO第95百分位数日平均质量浓度、O3第90百分位数日最大8小时平均质量浓度均符合《环境空气质量标准》（GB3095-2012）中的二级标准要求。PM10、PM2.5年平均质量浓度值均超出《环境空气质量标准》（GB3095-2012）中的二级标准要求。因此，项目所在区域为不达标区域。</w:t>
            </w:r>
          </w:p>
          <w:p w14:paraId="051724B9">
            <w:pPr>
              <w:spacing w:line="360" w:lineRule="auto"/>
              <w:ind w:firstLine="480" w:firstLineChars="200"/>
              <w:rPr>
                <w:color w:val="auto"/>
                <w:sz w:val="24"/>
              </w:rPr>
            </w:pPr>
            <w:r>
              <w:rPr>
                <w:rFonts w:hint="eastAsia"/>
                <w:color w:val="auto"/>
                <w:sz w:val="24"/>
              </w:rPr>
              <w:t>②特征污染物</w:t>
            </w:r>
          </w:p>
          <w:p w14:paraId="04353BA9">
            <w:pPr>
              <w:spacing w:line="360" w:lineRule="auto"/>
              <w:ind w:firstLine="480" w:firstLineChars="200"/>
              <w:rPr>
                <w:color w:val="auto"/>
                <w:sz w:val="24"/>
              </w:rPr>
            </w:pPr>
            <w:r>
              <w:rPr>
                <w:color w:val="auto"/>
                <w:sz w:val="24"/>
              </w:rPr>
              <w:t>为了解项目所在地区环境空气中特征因子TSP现状，</w:t>
            </w:r>
            <w:r>
              <w:rPr>
                <w:rFonts w:hint="eastAsia"/>
                <w:color w:val="auto"/>
                <w:sz w:val="24"/>
              </w:rPr>
              <w:t>按照《建设项目环境 影响报告表编制技术指南》（污染影响类）（试行）的规定“排放国家、地方环境空气质量标准中有标准限值要求的特征污染物时，引用建设项目周边5km范围内近3年的现有监测数据”，本次评价引用陕西明铖检测技术有限公司于2024.10.17~2024.10.18、2024.10.21对《宝鸡通达商品混凝土有限公司预拌商品混凝土、水稳搅拌扩建项目</w:t>
            </w:r>
            <w:r>
              <w:rPr>
                <w:rFonts w:hint="default" w:ascii="Times New Roman" w:hAnsi="Times New Roman" w:eastAsia="宋体" w:cs="Times New Roman"/>
                <w:color w:val="auto"/>
                <w:sz w:val="24"/>
              </w:rPr>
              <w:t>环境影响报告</w:t>
            </w:r>
            <w:r>
              <w:rPr>
                <w:rFonts w:hint="eastAsia" w:ascii="Times New Roman" w:hAnsi="Times New Roman" w:eastAsia="宋体" w:cs="Times New Roman"/>
                <w:color w:val="auto"/>
                <w:sz w:val="24"/>
                <w:lang w:val="en-US" w:eastAsia="zh-CN"/>
              </w:rPr>
              <w:t>表</w:t>
            </w:r>
            <w:r>
              <w:rPr>
                <w:rFonts w:hint="eastAsia"/>
                <w:color w:val="auto"/>
                <w:sz w:val="24"/>
              </w:rPr>
              <w:t>》</w:t>
            </w:r>
            <w:r>
              <w:rPr>
                <w:rFonts w:hint="default" w:ascii="Times New Roman" w:hAnsi="Times New Roman" w:eastAsia="宋体" w:cs="Times New Roman"/>
                <w:color w:val="auto"/>
                <w:sz w:val="24"/>
              </w:rPr>
              <w:t>中的</w:t>
            </w:r>
            <w:r>
              <w:rPr>
                <w:rFonts w:hint="eastAsia"/>
                <w:color w:val="auto"/>
                <w:sz w:val="24"/>
              </w:rPr>
              <w:t>TSP的监测数据，监测点位于本项目</w:t>
            </w:r>
            <w:r>
              <w:rPr>
                <w:rFonts w:hint="eastAsia"/>
                <w:color w:val="auto"/>
                <w:sz w:val="24"/>
                <w:lang w:val="en-US" w:eastAsia="zh-CN"/>
              </w:rPr>
              <w:t>东北</w:t>
            </w:r>
            <w:r>
              <w:rPr>
                <w:rFonts w:hint="eastAsia"/>
                <w:color w:val="auto"/>
                <w:sz w:val="24"/>
              </w:rPr>
              <w:t>侧约</w:t>
            </w:r>
            <w:r>
              <w:rPr>
                <w:rFonts w:hint="eastAsia"/>
                <w:color w:val="auto"/>
                <w:sz w:val="24"/>
                <w:lang w:val="en-US" w:eastAsia="zh-CN"/>
              </w:rPr>
              <w:t>3471</w:t>
            </w:r>
            <w:r>
              <w:rPr>
                <w:rFonts w:hint="eastAsia"/>
                <w:color w:val="auto"/>
                <w:sz w:val="24"/>
              </w:rPr>
              <w:t>m，监测数据符合引用建设项目周边5千米范围内近3年的现有监测数据要求</w:t>
            </w:r>
            <w:r>
              <w:rPr>
                <w:color w:val="auto"/>
                <w:sz w:val="24"/>
              </w:rPr>
              <w:t>，具体引用数据见下表：</w:t>
            </w:r>
          </w:p>
          <w:p w14:paraId="61429FE7">
            <w:pPr>
              <w:jc w:val="center"/>
              <w:rPr>
                <w:rFonts w:hint="eastAsia"/>
                <w:b/>
                <w:bCs/>
                <w:color w:val="auto"/>
                <w:szCs w:val="21"/>
              </w:rPr>
            </w:pPr>
            <w:r>
              <w:rPr>
                <w:rFonts w:hint="eastAsia"/>
                <w:b/>
                <w:bCs/>
                <w:color w:val="auto"/>
                <w:szCs w:val="21"/>
              </w:rPr>
              <w:t>表3-2  大气特征污染物环境质量现状监测结果</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2316"/>
              <w:gridCol w:w="1561"/>
              <w:gridCol w:w="1289"/>
              <w:gridCol w:w="1455"/>
            </w:tblGrid>
            <w:tr w14:paraId="191E1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restart"/>
                  <w:tcBorders>
                    <w:tl2br w:val="nil"/>
                    <w:tr2bl w:val="nil"/>
                  </w:tcBorders>
                  <w:noWrap/>
                  <w:vAlign w:val="center"/>
                </w:tcPr>
                <w:p w14:paraId="5943E3FA">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监测点位</w:t>
                  </w:r>
                </w:p>
              </w:tc>
              <w:tc>
                <w:tcPr>
                  <w:tcW w:w="1415" w:type="pct"/>
                  <w:vMerge w:val="restart"/>
                  <w:tcBorders>
                    <w:tl2br w:val="nil"/>
                    <w:tr2bl w:val="nil"/>
                  </w:tcBorders>
                  <w:noWrap/>
                  <w:vAlign w:val="center"/>
                </w:tcPr>
                <w:p w14:paraId="3BA594C2">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监测日期</w:t>
                  </w:r>
                </w:p>
              </w:tc>
              <w:tc>
                <w:tcPr>
                  <w:tcW w:w="954" w:type="pct"/>
                  <w:tcBorders>
                    <w:tl2br w:val="nil"/>
                    <w:tr2bl w:val="nil"/>
                  </w:tcBorders>
                  <w:noWrap/>
                  <w:vAlign w:val="center"/>
                </w:tcPr>
                <w:p w14:paraId="056A9755">
                  <w:pPr>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lang w:val="en-US" w:eastAsia="zh-CN"/>
                    </w:rPr>
                    <w:t>检测</w:t>
                  </w:r>
                  <w:r>
                    <w:rPr>
                      <w:rFonts w:ascii="Times New Roman" w:hAnsi="Times New Roman" w:eastAsiaTheme="minorEastAsia"/>
                      <w:b/>
                      <w:bCs/>
                      <w:color w:val="auto"/>
                      <w:szCs w:val="21"/>
                    </w:rPr>
                    <w:t>结果</w:t>
                  </w:r>
                </w:p>
              </w:tc>
              <w:tc>
                <w:tcPr>
                  <w:tcW w:w="788" w:type="pct"/>
                  <w:vMerge w:val="restart"/>
                  <w:tcBorders>
                    <w:tl2br w:val="nil"/>
                    <w:tr2bl w:val="nil"/>
                  </w:tcBorders>
                  <w:noWrap/>
                  <w:vAlign w:val="center"/>
                </w:tcPr>
                <w:p w14:paraId="70293C2D">
                  <w:pPr>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rPr>
                    <w:t>标准限值</w:t>
                  </w:r>
                </w:p>
              </w:tc>
              <w:tc>
                <w:tcPr>
                  <w:tcW w:w="889" w:type="pct"/>
                  <w:vMerge w:val="restart"/>
                  <w:tcBorders>
                    <w:tl2br w:val="nil"/>
                    <w:tr2bl w:val="nil"/>
                  </w:tcBorders>
                  <w:noWrap/>
                  <w:vAlign w:val="center"/>
                </w:tcPr>
                <w:p w14:paraId="79B3FE48">
                  <w:pPr>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rPr>
                    <w:t>占标率</w:t>
                  </w:r>
                </w:p>
              </w:tc>
            </w:tr>
            <w:tr w14:paraId="4BFE6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tcBorders>
                    <w:tl2br w:val="nil"/>
                    <w:tr2bl w:val="nil"/>
                  </w:tcBorders>
                  <w:noWrap/>
                  <w:vAlign w:val="center"/>
                </w:tcPr>
                <w:p w14:paraId="64B03F63">
                  <w:pPr>
                    <w:jc w:val="center"/>
                    <w:rPr>
                      <w:rFonts w:ascii="Times New Roman" w:hAnsi="Times New Roman" w:eastAsiaTheme="minorEastAsia"/>
                      <w:b/>
                      <w:bCs/>
                      <w:color w:val="auto"/>
                      <w:szCs w:val="21"/>
                    </w:rPr>
                  </w:pPr>
                </w:p>
              </w:tc>
              <w:tc>
                <w:tcPr>
                  <w:tcW w:w="1415" w:type="pct"/>
                  <w:vMerge w:val="continue"/>
                  <w:tcBorders>
                    <w:tl2br w:val="nil"/>
                    <w:tr2bl w:val="nil"/>
                  </w:tcBorders>
                  <w:noWrap/>
                  <w:vAlign w:val="center"/>
                </w:tcPr>
                <w:p w14:paraId="4D800AEA">
                  <w:pPr>
                    <w:jc w:val="center"/>
                    <w:rPr>
                      <w:rFonts w:ascii="Times New Roman" w:hAnsi="Times New Roman" w:eastAsiaTheme="minorEastAsia"/>
                      <w:b/>
                      <w:bCs/>
                      <w:color w:val="auto"/>
                      <w:szCs w:val="21"/>
                    </w:rPr>
                  </w:pPr>
                </w:p>
              </w:tc>
              <w:tc>
                <w:tcPr>
                  <w:tcW w:w="954" w:type="pct"/>
                  <w:tcBorders>
                    <w:tl2br w:val="nil"/>
                    <w:tr2bl w:val="nil"/>
                  </w:tcBorders>
                  <w:noWrap/>
                  <w:vAlign w:val="center"/>
                </w:tcPr>
                <w:p w14:paraId="429A492A">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TSP mg/</w:t>
                  </w:r>
                  <w:r>
                    <w:rPr>
                      <w:rFonts w:hint="eastAsia" w:ascii="Times New Roman" w:hAnsi="Times New Roman" w:eastAsiaTheme="minorEastAsia"/>
                      <w:b/>
                      <w:bCs/>
                      <w:color w:val="auto"/>
                      <w:szCs w:val="21"/>
                    </w:rPr>
                    <w:t>m³</w:t>
                  </w:r>
                </w:p>
              </w:tc>
              <w:tc>
                <w:tcPr>
                  <w:tcW w:w="788" w:type="pct"/>
                  <w:vMerge w:val="continue"/>
                  <w:tcBorders>
                    <w:tl2br w:val="nil"/>
                    <w:tr2bl w:val="nil"/>
                  </w:tcBorders>
                  <w:noWrap/>
                  <w:vAlign w:val="center"/>
                </w:tcPr>
                <w:p w14:paraId="29BEF6AE">
                  <w:pPr>
                    <w:jc w:val="center"/>
                    <w:rPr>
                      <w:rFonts w:ascii="Times New Roman" w:hAnsi="Times New Roman" w:eastAsiaTheme="minorEastAsia"/>
                      <w:b/>
                      <w:bCs/>
                      <w:color w:val="auto"/>
                      <w:szCs w:val="21"/>
                    </w:rPr>
                  </w:pPr>
                </w:p>
              </w:tc>
              <w:tc>
                <w:tcPr>
                  <w:tcW w:w="889" w:type="pct"/>
                  <w:vMerge w:val="continue"/>
                  <w:tcBorders>
                    <w:tl2br w:val="nil"/>
                    <w:tr2bl w:val="nil"/>
                  </w:tcBorders>
                  <w:noWrap/>
                  <w:vAlign w:val="center"/>
                </w:tcPr>
                <w:p w14:paraId="682A58F2">
                  <w:pPr>
                    <w:jc w:val="center"/>
                    <w:rPr>
                      <w:rFonts w:ascii="Times New Roman" w:hAnsi="Times New Roman" w:eastAsiaTheme="minorEastAsia"/>
                      <w:b/>
                      <w:bCs/>
                      <w:color w:val="auto"/>
                      <w:szCs w:val="21"/>
                    </w:rPr>
                  </w:pPr>
                </w:p>
              </w:tc>
            </w:tr>
            <w:tr w14:paraId="7994F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restart"/>
                  <w:tcBorders>
                    <w:tl2br w:val="nil"/>
                    <w:tr2bl w:val="nil"/>
                  </w:tcBorders>
                  <w:noWrap/>
                  <w:vAlign w:val="center"/>
                </w:tcPr>
                <w:p w14:paraId="221BD05C">
                  <w:pPr>
                    <w:jc w:val="center"/>
                    <w:rPr>
                      <w:rFonts w:ascii="Times New Roman" w:hAnsi="Times New Roman" w:eastAsiaTheme="minorEastAsia"/>
                      <w:color w:val="auto"/>
                      <w:szCs w:val="21"/>
                    </w:rPr>
                  </w:pPr>
                  <w:r>
                    <w:rPr>
                      <w:rFonts w:hint="eastAsia" w:ascii="Times New Roman" w:hAnsi="Times New Roman" w:eastAsiaTheme="minorEastAsia"/>
                      <w:color w:val="auto"/>
                      <w:szCs w:val="21"/>
                      <w:lang w:val="en-US" w:eastAsia="zh-CN"/>
                    </w:rPr>
                    <w:t>项目地</w:t>
                  </w:r>
                  <w:r>
                    <w:rPr>
                      <w:rFonts w:hint="eastAsia" w:ascii="Times New Roman" w:hAnsi="Times New Roman" w:eastAsiaTheme="minorEastAsia"/>
                      <w:color w:val="auto"/>
                      <w:szCs w:val="21"/>
                    </w:rPr>
                    <w:t>下风向</w:t>
                  </w:r>
                </w:p>
              </w:tc>
              <w:tc>
                <w:tcPr>
                  <w:tcW w:w="1415" w:type="pct"/>
                  <w:tcBorders>
                    <w:tl2br w:val="nil"/>
                    <w:tr2bl w:val="nil"/>
                  </w:tcBorders>
                  <w:noWrap/>
                  <w:vAlign w:val="center"/>
                </w:tcPr>
                <w:p w14:paraId="11DF2E8A">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2024.10.17</w:t>
                  </w:r>
                </w:p>
              </w:tc>
              <w:tc>
                <w:tcPr>
                  <w:tcW w:w="954" w:type="pct"/>
                  <w:tcBorders>
                    <w:tl2br w:val="nil"/>
                    <w:tr2bl w:val="nil"/>
                  </w:tcBorders>
                  <w:noWrap/>
                  <w:vAlign w:val="center"/>
                </w:tcPr>
                <w:p w14:paraId="08EF12AE">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0.083</w:t>
                  </w:r>
                </w:p>
              </w:tc>
              <w:tc>
                <w:tcPr>
                  <w:tcW w:w="788" w:type="pct"/>
                  <w:vMerge w:val="restart"/>
                  <w:tcBorders>
                    <w:tl2br w:val="nil"/>
                    <w:tr2bl w:val="nil"/>
                  </w:tcBorders>
                  <w:noWrap/>
                  <w:vAlign w:val="center"/>
                </w:tcPr>
                <w:p w14:paraId="6834C7EE">
                  <w:pPr>
                    <w:jc w:val="center"/>
                    <w:rPr>
                      <w:rFonts w:ascii="Times New Roman" w:hAnsi="Times New Roman" w:eastAsiaTheme="minorEastAsia"/>
                      <w:color w:val="auto"/>
                      <w:szCs w:val="21"/>
                    </w:rPr>
                  </w:pPr>
                  <w:r>
                    <w:rPr>
                      <w:rFonts w:hint="eastAsia" w:ascii="Times New Roman" w:hAnsi="Times New Roman" w:eastAsiaTheme="minorEastAsia"/>
                      <w:color w:val="auto"/>
                      <w:szCs w:val="21"/>
                    </w:rPr>
                    <w:t>0.3</w:t>
                  </w:r>
                  <w:r>
                    <w:rPr>
                      <w:rFonts w:ascii="Times New Roman" w:hAnsi="Times New Roman" w:eastAsiaTheme="minorEastAsia"/>
                      <w:color w:val="auto"/>
                      <w:szCs w:val="21"/>
                    </w:rPr>
                    <w:t>mg/</w:t>
                  </w:r>
                  <w:r>
                    <w:rPr>
                      <w:rFonts w:hint="eastAsia" w:ascii="Times New Roman" w:hAnsi="Times New Roman" w:eastAsiaTheme="minorEastAsia"/>
                      <w:color w:val="auto"/>
                      <w:szCs w:val="21"/>
                    </w:rPr>
                    <w:t>m³</w:t>
                  </w:r>
                </w:p>
              </w:tc>
              <w:tc>
                <w:tcPr>
                  <w:tcW w:w="889" w:type="pct"/>
                  <w:tcBorders>
                    <w:tl2br w:val="nil"/>
                    <w:tr2bl w:val="nil"/>
                  </w:tcBorders>
                  <w:noWrap/>
                  <w:vAlign w:val="center"/>
                </w:tcPr>
                <w:p w14:paraId="149432F8">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28</w:t>
                  </w:r>
                  <w:r>
                    <w:rPr>
                      <w:rFonts w:hint="eastAsia" w:ascii="Times New Roman" w:hAnsi="Times New Roman" w:eastAsiaTheme="minorEastAsia"/>
                      <w:color w:val="auto"/>
                      <w:szCs w:val="21"/>
                    </w:rPr>
                    <w:t>%</w:t>
                  </w:r>
                </w:p>
              </w:tc>
            </w:tr>
            <w:tr w14:paraId="1590A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tcBorders>
                    <w:tl2br w:val="nil"/>
                    <w:tr2bl w:val="nil"/>
                  </w:tcBorders>
                  <w:noWrap/>
                  <w:vAlign w:val="center"/>
                </w:tcPr>
                <w:p w14:paraId="61EA06A2">
                  <w:pPr>
                    <w:jc w:val="center"/>
                    <w:rPr>
                      <w:rFonts w:ascii="Times New Roman" w:hAnsi="Times New Roman" w:eastAsiaTheme="minorEastAsia"/>
                      <w:color w:val="auto"/>
                      <w:szCs w:val="21"/>
                    </w:rPr>
                  </w:pPr>
                </w:p>
              </w:tc>
              <w:tc>
                <w:tcPr>
                  <w:tcW w:w="1415" w:type="pct"/>
                  <w:tcBorders>
                    <w:tl2br w:val="nil"/>
                    <w:tr2bl w:val="nil"/>
                  </w:tcBorders>
                  <w:noWrap/>
                  <w:vAlign w:val="center"/>
                </w:tcPr>
                <w:p w14:paraId="07142D3D">
                  <w:pPr>
                    <w:jc w:val="center"/>
                    <w:rPr>
                      <w:rFonts w:hint="default" w:ascii="Times New Roman" w:hAnsi="Times New Roman" w:eastAsiaTheme="minorEastAsia"/>
                      <w:color w:val="auto"/>
                      <w:szCs w:val="21"/>
                      <w:lang w:val="en-US"/>
                    </w:rPr>
                  </w:pPr>
                  <w:r>
                    <w:rPr>
                      <w:rFonts w:hint="eastAsia" w:ascii="Times New Roman" w:hAnsi="Times New Roman" w:eastAsiaTheme="minorEastAsia"/>
                      <w:color w:val="auto"/>
                      <w:szCs w:val="21"/>
                      <w:lang w:val="en-US" w:eastAsia="zh-CN"/>
                    </w:rPr>
                    <w:t>2024.10.18</w:t>
                  </w:r>
                </w:p>
              </w:tc>
              <w:tc>
                <w:tcPr>
                  <w:tcW w:w="954" w:type="pct"/>
                  <w:tcBorders>
                    <w:tl2br w:val="nil"/>
                    <w:tr2bl w:val="nil"/>
                  </w:tcBorders>
                  <w:noWrap/>
                  <w:vAlign w:val="center"/>
                </w:tcPr>
                <w:p w14:paraId="1F401382">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0.087</w:t>
                  </w:r>
                </w:p>
              </w:tc>
              <w:tc>
                <w:tcPr>
                  <w:tcW w:w="788" w:type="pct"/>
                  <w:vMerge w:val="continue"/>
                  <w:tcBorders>
                    <w:tl2br w:val="nil"/>
                    <w:tr2bl w:val="nil"/>
                  </w:tcBorders>
                  <w:noWrap/>
                  <w:vAlign w:val="center"/>
                </w:tcPr>
                <w:p w14:paraId="06724C47">
                  <w:pPr>
                    <w:jc w:val="center"/>
                    <w:rPr>
                      <w:rFonts w:ascii="Times New Roman" w:hAnsi="Times New Roman" w:eastAsiaTheme="minorEastAsia"/>
                      <w:color w:val="auto"/>
                      <w:szCs w:val="21"/>
                    </w:rPr>
                  </w:pPr>
                </w:p>
              </w:tc>
              <w:tc>
                <w:tcPr>
                  <w:tcW w:w="889" w:type="pct"/>
                  <w:tcBorders>
                    <w:tl2br w:val="nil"/>
                    <w:tr2bl w:val="nil"/>
                  </w:tcBorders>
                  <w:noWrap/>
                  <w:vAlign w:val="center"/>
                </w:tcPr>
                <w:p w14:paraId="0A70D0CA">
                  <w:pPr>
                    <w:jc w:val="center"/>
                    <w:rPr>
                      <w:rFonts w:ascii="Times New Roman" w:hAnsi="Times New Roman" w:eastAsiaTheme="minorEastAsia"/>
                      <w:color w:val="auto"/>
                      <w:szCs w:val="21"/>
                    </w:rPr>
                  </w:pPr>
                  <w:r>
                    <w:rPr>
                      <w:rFonts w:hint="eastAsia" w:ascii="Times New Roman" w:hAnsi="Times New Roman" w:eastAsiaTheme="minorEastAsia"/>
                      <w:color w:val="auto"/>
                      <w:szCs w:val="21"/>
                      <w:lang w:val="en-US" w:eastAsia="zh-CN"/>
                    </w:rPr>
                    <w:t>29</w:t>
                  </w:r>
                  <w:r>
                    <w:rPr>
                      <w:rFonts w:hint="eastAsia" w:ascii="Times New Roman" w:hAnsi="Times New Roman" w:eastAsiaTheme="minorEastAsia"/>
                      <w:color w:val="auto"/>
                      <w:szCs w:val="21"/>
                    </w:rPr>
                    <w:t>%</w:t>
                  </w:r>
                </w:p>
              </w:tc>
            </w:tr>
            <w:tr w14:paraId="1402A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tcBorders>
                    <w:tl2br w:val="nil"/>
                    <w:tr2bl w:val="nil"/>
                  </w:tcBorders>
                  <w:noWrap/>
                  <w:vAlign w:val="center"/>
                </w:tcPr>
                <w:p w14:paraId="6E88FB2A">
                  <w:pPr>
                    <w:jc w:val="center"/>
                    <w:rPr>
                      <w:rFonts w:ascii="Times New Roman" w:hAnsi="Times New Roman" w:eastAsiaTheme="minorEastAsia"/>
                      <w:color w:val="auto"/>
                      <w:szCs w:val="21"/>
                    </w:rPr>
                  </w:pPr>
                </w:p>
              </w:tc>
              <w:tc>
                <w:tcPr>
                  <w:tcW w:w="1415" w:type="pct"/>
                  <w:tcBorders>
                    <w:tl2br w:val="nil"/>
                    <w:tr2bl w:val="nil"/>
                  </w:tcBorders>
                  <w:noWrap/>
                  <w:vAlign w:val="center"/>
                </w:tcPr>
                <w:p w14:paraId="49E25F78">
                  <w:pPr>
                    <w:jc w:val="center"/>
                    <w:rPr>
                      <w:rFonts w:hint="default" w:ascii="Times New Roman" w:hAnsi="Times New Roman" w:eastAsiaTheme="minorEastAsia"/>
                      <w:color w:val="auto"/>
                      <w:szCs w:val="21"/>
                      <w:lang w:val="en-US"/>
                    </w:rPr>
                  </w:pPr>
                  <w:r>
                    <w:rPr>
                      <w:rFonts w:hint="eastAsia" w:ascii="Times New Roman" w:hAnsi="Times New Roman" w:eastAsiaTheme="minorEastAsia"/>
                      <w:color w:val="auto"/>
                      <w:szCs w:val="21"/>
                      <w:lang w:val="en-US" w:eastAsia="zh-CN"/>
                    </w:rPr>
                    <w:t>2024.10.21</w:t>
                  </w:r>
                </w:p>
              </w:tc>
              <w:tc>
                <w:tcPr>
                  <w:tcW w:w="954" w:type="pct"/>
                  <w:tcBorders>
                    <w:tl2br w:val="nil"/>
                    <w:tr2bl w:val="nil"/>
                  </w:tcBorders>
                  <w:noWrap/>
                  <w:vAlign w:val="center"/>
                </w:tcPr>
                <w:p w14:paraId="58D9BF5B">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0.085</w:t>
                  </w:r>
                </w:p>
              </w:tc>
              <w:tc>
                <w:tcPr>
                  <w:tcW w:w="788" w:type="pct"/>
                  <w:vMerge w:val="continue"/>
                  <w:tcBorders>
                    <w:tl2br w:val="nil"/>
                    <w:tr2bl w:val="nil"/>
                  </w:tcBorders>
                  <w:noWrap/>
                  <w:vAlign w:val="center"/>
                </w:tcPr>
                <w:p w14:paraId="3BA7DE06">
                  <w:pPr>
                    <w:jc w:val="center"/>
                    <w:rPr>
                      <w:rFonts w:ascii="Times New Roman" w:hAnsi="Times New Roman" w:eastAsiaTheme="minorEastAsia"/>
                      <w:color w:val="auto"/>
                      <w:szCs w:val="21"/>
                    </w:rPr>
                  </w:pPr>
                </w:p>
              </w:tc>
              <w:tc>
                <w:tcPr>
                  <w:tcW w:w="889" w:type="pct"/>
                  <w:tcBorders>
                    <w:tl2br w:val="nil"/>
                    <w:tr2bl w:val="nil"/>
                  </w:tcBorders>
                  <w:noWrap/>
                  <w:vAlign w:val="center"/>
                </w:tcPr>
                <w:p w14:paraId="16F0B5BF">
                  <w:pPr>
                    <w:jc w:val="center"/>
                    <w:rPr>
                      <w:rFonts w:ascii="Times New Roman" w:hAnsi="Times New Roman" w:eastAsiaTheme="minorEastAsia"/>
                      <w:color w:val="auto"/>
                      <w:szCs w:val="21"/>
                    </w:rPr>
                  </w:pPr>
                  <w:r>
                    <w:rPr>
                      <w:rFonts w:hint="eastAsia" w:ascii="Times New Roman" w:hAnsi="Times New Roman" w:eastAsiaTheme="minorEastAsia"/>
                      <w:color w:val="auto"/>
                      <w:szCs w:val="21"/>
                      <w:lang w:val="en-US" w:eastAsia="zh-CN"/>
                    </w:rPr>
                    <w:t>28</w:t>
                  </w:r>
                  <w:r>
                    <w:rPr>
                      <w:rFonts w:hint="eastAsia" w:ascii="Times New Roman" w:hAnsi="Times New Roman" w:eastAsiaTheme="minorEastAsia"/>
                      <w:color w:val="auto"/>
                      <w:szCs w:val="21"/>
                    </w:rPr>
                    <w:t>%</w:t>
                  </w:r>
                </w:p>
              </w:tc>
            </w:tr>
          </w:tbl>
          <w:p w14:paraId="7EDB76E8">
            <w:pPr>
              <w:spacing w:line="360" w:lineRule="auto"/>
              <w:ind w:firstLine="480" w:firstLineChars="200"/>
              <w:jc w:val="both"/>
              <w:rPr>
                <w:rFonts w:hint="eastAsia"/>
                <w:color w:val="auto"/>
                <w:sz w:val="24"/>
              </w:rPr>
            </w:pPr>
            <w:r>
              <w:rPr>
                <w:rFonts w:hint="eastAsia"/>
                <w:color w:val="auto"/>
                <w:sz w:val="24"/>
              </w:rPr>
              <w:t>由监测结果可以看出，监测点位TSP浓度均满足《环境空气质量标准》（GB 3095-2012）二级标准要求。</w:t>
            </w:r>
            <w:r>
              <w:rPr>
                <w:rFonts w:hint="eastAsia" w:eastAsia="宋体"/>
                <w:color w:val="auto"/>
                <w:lang w:eastAsia="zh-CN"/>
              </w:rPr>
              <w:drawing>
                <wp:anchor distT="0" distB="0" distL="114300" distR="114300" simplePos="0" relativeHeight="251674624" behindDoc="0" locked="0" layoutInCell="1" allowOverlap="1">
                  <wp:simplePos x="0" y="0"/>
                  <wp:positionH relativeFrom="column">
                    <wp:posOffset>6250305</wp:posOffset>
                  </wp:positionH>
                  <wp:positionV relativeFrom="page">
                    <wp:posOffset>4281170</wp:posOffset>
                  </wp:positionV>
                  <wp:extent cx="459740" cy="561975"/>
                  <wp:effectExtent l="9525" t="9525" r="26035" b="19050"/>
                  <wp:wrapNone/>
                  <wp:docPr id="86" name="图片 2" descr="bc83a7bc8214c720915014acb74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bc83a7bc8214c720915014acb749293"/>
                          <pic:cNvPicPr>
                            <a:picLocks noChangeAspect="1"/>
                          </pic:cNvPicPr>
                        </pic:nvPicPr>
                        <pic:blipFill>
                          <a:blip r:embed="rId13"/>
                          <a:stretch>
                            <a:fillRect/>
                          </a:stretch>
                        </pic:blipFill>
                        <pic:spPr>
                          <a:xfrm>
                            <a:off x="0" y="0"/>
                            <a:ext cx="459740" cy="561975"/>
                          </a:xfrm>
                          <a:prstGeom prst="rect">
                            <a:avLst/>
                          </a:prstGeom>
                          <a:noFill/>
                          <a:ln w="3175" cap="flat" cmpd="sng">
                            <a:solidFill>
                              <a:srgbClr val="000000"/>
                            </a:solidFill>
                            <a:prstDash val="solid"/>
                            <a:round/>
                            <a:headEnd type="none" w="med" len="med"/>
                            <a:tailEnd type="none" w="med" len="med"/>
                          </a:ln>
                        </pic:spPr>
                      </pic:pic>
                    </a:graphicData>
                  </a:graphic>
                </wp:anchor>
              </w:drawing>
            </w:r>
          </w:p>
          <w:p w14:paraId="0C1EB2DD">
            <w:pPr>
              <w:pStyle w:val="11"/>
              <w:ind w:left="0" w:leftChars="0" w:firstLine="0" w:firstLineChars="0"/>
              <w:rPr>
                <w:rFonts w:hint="eastAsia"/>
              </w:rPr>
            </w:pPr>
            <w:r>
              <w:rPr>
                <w:rFonts w:hint="eastAsia" w:eastAsia="宋体"/>
                <w:color w:val="auto"/>
                <w:lang w:eastAsia="zh-CN"/>
              </w:rPr>
              <w:drawing>
                <wp:anchor distT="0" distB="0" distL="114300" distR="114300" simplePos="0" relativeHeight="251677696" behindDoc="0" locked="0" layoutInCell="1" allowOverlap="1">
                  <wp:simplePos x="0" y="0"/>
                  <wp:positionH relativeFrom="column">
                    <wp:posOffset>4723130</wp:posOffset>
                  </wp:positionH>
                  <wp:positionV relativeFrom="page">
                    <wp:posOffset>4032885</wp:posOffset>
                  </wp:positionV>
                  <wp:extent cx="459740" cy="561975"/>
                  <wp:effectExtent l="9525" t="9525" r="26035" b="19050"/>
                  <wp:wrapNone/>
                  <wp:docPr id="87" name="图片 2" descr="bc83a7bc8214c720915014acb74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bc83a7bc8214c720915014acb749293"/>
                          <pic:cNvPicPr>
                            <a:picLocks noChangeAspect="1"/>
                          </pic:cNvPicPr>
                        </pic:nvPicPr>
                        <pic:blipFill>
                          <a:blip r:embed="rId13"/>
                          <a:stretch>
                            <a:fillRect/>
                          </a:stretch>
                        </pic:blipFill>
                        <pic:spPr>
                          <a:xfrm>
                            <a:off x="0" y="0"/>
                            <a:ext cx="459740" cy="561975"/>
                          </a:xfrm>
                          <a:prstGeom prst="rect">
                            <a:avLst/>
                          </a:prstGeom>
                          <a:noFill/>
                          <a:ln w="3175" cap="flat" cmpd="sng">
                            <a:solidFill>
                              <a:srgbClr val="000000"/>
                            </a:solidFill>
                            <a:prstDash val="solid"/>
                            <a:round/>
                            <a:headEnd type="none" w="med" len="med"/>
                            <a:tailEnd type="none" w="med" len="med"/>
                          </a:ln>
                        </pic:spPr>
                      </pic:pic>
                    </a:graphicData>
                  </a:graphic>
                </wp:anchor>
              </w:drawing>
            </w:r>
            <w:r>
              <w:drawing>
                <wp:inline distT="0" distB="0" distL="114300" distR="114300">
                  <wp:extent cx="5213985" cy="3480435"/>
                  <wp:effectExtent l="0" t="0" r="5715" b="571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14"/>
                          <a:stretch>
                            <a:fillRect/>
                          </a:stretch>
                        </pic:blipFill>
                        <pic:spPr>
                          <a:xfrm>
                            <a:off x="0" y="0"/>
                            <a:ext cx="5213985" cy="3480435"/>
                          </a:xfrm>
                          <a:prstGeom prst="rect">
                            <a:avLst/>
                          </a:prstGeom>
                          <a:noFill/>
                          <a:ln>
                            <a:noFill/>
                          </a:ln>
                        </pic:spPr>
                      </pic:pic>
                    </a:graphicData>
                  </a:graphic>
                </wp:inline>
              </w:drawing>
            </w:r>
          </w:p>
          <w:p w14:paraId="244C7C4F">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图3-1</w:t>
            </w:r>
            <w:r>
              <w:rPr>
                <w:rFonts w:hint="eastAsia"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引用监测点位与项目位置关系图</w:t>
            </w:r>
          </w:p>
          <w:p w14:paraId="358A98E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2、地表水环境质量现状</w:t>
            </w:r>
          </w:p>
          <w:p w14:paraId="673405D1">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本项目生产废水回用于生产，不对外排放；生活污水经</w:t>
            </w:r>
            <w:r>
              <w:rPr>
                <w:rFonts w:hint="eastAsia" w:cs="Times New Roman"/>
                <w:color w:val="000000" w:themeColor="text1"/>
                <w:sz w:val="24"/>
                <w:szCs w:val="24"/>
                <w:lang w:val="en-US" w:eastAsia="zh-CN"/>
                <w14:textFill>
                  <w14:solidFill>
                    <w14:schemeClr w14:val="tx1"/>
                  </w14:solidFill>
                </w14:textFill>
              </w:rPr>
              <w:t>化粪池处理后拉运堆肥</w:t>
            </w:r>
            <w:r>
              <w:rPr>
                <w:rFonts w:hint="default" w:ascii="Times New Roman" w:hAnsi="Times New Roman" w:cs="Times New Roman"/>
                <w:color w:val="000000" w:themeColor="text1"/>
                <w:sz w:val="24"/>
                <w:szCs w:val="24"/>
                <w:lang w:val="en-US" w:eastAsia="zh-CN"/>
                <w14:textFill>
                  <w14:solidFill>
                    <w14:schemeClr w14:val="tx1"/>
                  </w14:solidFill>
                </w14:textFill>
              </w:rPr>
              <w:t>，无外排废水。</w:t>
            </w:r>
          </w:p>
          <w:p w14:paraId="52835EA9">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3、声环境质量现状 </w:t>
            </w:r>
          </w:p>
          <w:p w14:paraId="4BEF3A9D">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根据现场勘查，项目厂界外50米范围内无医院、学校、机关、科研单位、住宅、自然保护区等声环境保护目标</w:t>
            </w:r>
            <w:r>
              <w:rPr>
                <w:rFonts w:hint="default" w:ascii="Times New Roman" w:hAnsi="Times New Roman" w:cs="Times New Roman"/>
                <w:color w:val="000000" w:themeColor="text1"/>
                <w:sz w:val="24"/>
                <w:szCs w:val="32"/>
                <w:lang w:val="en-US" w:eastAsia="zh-CN"/>
                <w14:textFill>
                  <w14:solidFill>
                    <w14:schemeClr w14:val="tx1"/>
                  </w14:solidFill>
                </w14:textFill>
              </w:rPr>
              <w:t>。</w:t>
            </w:r>
          </w:p>
          <w:p w14:paraId="44A241E4">
            <w:pPr>
              <w:pStyle w:val="8"/>
              <w:keepNext w:val="0"/>
              <w:keepLines w:val="0"/>
              <w:pageBreakBefore w:val="0"/>
              <w:widowControl w:val="0"/>
              <w:numPr>
                <w:ilvl w:val="0"/>
                <w:numId w:val="7"/>
              </w:numPr>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土壤、地下水质量现状</w:t>
            </w:r>
          </w:p>
          <w:p w14:paraId="5E92200E">
            <w:pPr>
              <w:adjustRightInd w:val="0"/>
              <w:snapToGrid w:val="0"/>
              <w:spacing w:line="360" w:lineRule="auto"/>
              <w:ind w:firstLine="480" w:firstLineChars="200"/>
              <w:rPr>
                <w:rStyle w:val="62"/>
                <w:rFonts w:hint="eastAsia" w:ascii="Times New Roman" w:hAnsi="Times New Roman" w:eastAsia="宋体"/>
                <w:color w:val="auto"/>
                <w:lang w:eastAsia="zh-CN"/>
              </w:rPr>
            </w:pPr>
            <w:r>
              <w:rPr>
                <w:rStyle w:val="62"/>
                <w:rFonts w:hint="default" w:ascii="Times New Roman" w:hAnsi="Times New Roman"/>
                <w:color w:val="auto"/>
              </w:rPr>
              <w:t>依据《建设项目环境影响报告表编制技术指南（污染影响类）》</w:t>
            </w:r>
            <w:r>
              <w:rPr>
                <w:rStyle w:val="62"/>
                <w:rFonts w:hint="eastAsia" w:ascii="Times New Roman" w:hAnsi="Times New Roman" w:eastAsia="宋体"/>
                <w:color w:val="auto"/>
                <w:lang w:eastAsia="zh-CN"/>
              </w:rPr>
              <w:t>“</w:t>
            </w:r>
            <w:r>
              <w:rPr>
                <w:rStyle w:val="62"/>
                <w:rFonts w:hint="default" w:ascii="Times New Roman" w:hAnsi="Times New Roman"/>
                <w:color w:val="auto"/>
              </w:rPr>
              <w:t>地下水、土壤环境。原则上不开展环境质量现状调查。建设项目存在土壤、地下水环境污染途径的，应结合污染源、保护目标分布情况开展现状调查以留作背景值。</w:t>
            </w:r>
            <w:r>
              <w:rPr>
                <w:rStyle w:val="62"/>
                <w:rFonts w:hint="eastAsia" w:ascii="Times New Roman" w:hAnsi="Times New Roman" w:eastAsia="宋体"/>
                <w:color w:val="auto"/>
                <w:lang w:eastAsia="zh-CN"/>
              </w:rPr>
              <w:t>”</w:t>
            </w:r>
          </w:p>
          <w:p w14:paraId="5CF8EB85">
            <w:pPr>
              <w:adjustRightInd w:val="0"/>
              <w:snapToGrid w:val="0"/>
              <w:spacing w:line="360" w:lineRule="auto"/>
              <w:ind w:firstLine="480" w:firstLine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Style w:val="62"/>
                <w:rFonts w:hint="eastAsia" w:ascii="Times New Roman" w:hAnsi="Times New Roman" w:eastAsia="宋体"/>
                <w:color w:val="auto"/>
                <w:lang w:val="en-US" w:eastAsia="zh-CN"/>
              </w:rPr>
              <w:t>本项目虽涉及垂直入渗，但</w:t>
            </w:r>
            <w:r>
              <w:rPr>
                <w:rFonts w:hint="default" w:ascii="Times New Roman" w:hAnsi="Times New Roman" w:cs="Times New Roman"/>
                <w:color w:val="000000" w:themeColor="text1"/>
                <w:sz w:val="24"/>
                <w:szCs w:val="24"/>
                <w:lang w:val="en-US" w:eastAsia="zh-CN"/>
                <w14:textFill>
                  <w14:solidFill>
                    <w14:schemeClr w14:val="tx1"/>
                  </w14:solidFill>
                </w14:textFill>
              </w:rPr>
              <w:t>本项目生产车间均已硬化</w:t>
            </w:r>
            <w:r>
              <w:rPr>
                <w:rFonts w:hint="eastAsia" w:ascii="Times New Roman" w:cs="Times New Roman"/>
                <w:color w:val="000000" w:themeColor="text1"/>
                <w:sz w:val="24"/>
                <w:szCs w:val="24"/>
                <w:lang w:val="en-US" w:eastAsia="zh-CN"/>
                <w14:textFill>
                  <w14:solidFill>
                    <w14:schemeClr w14:val="tx1"/>
                  </w14:solidFill>
                </w14:textFill>
              </w:rPr>
              <w:t>，且设置渗滤液收集池</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池体</w:t>
            </w:r>
            <w:r>
              <w:rPr>
                <w:rFonts w:hint="eastAsia" w:cs="Times New Roman"/>
                <w:color w:val="auto"/>
                <w:sz w:val="24"/>
                <w:szCs w:val="24"/>
                <w:highlight w:val="none"/>
                <w:lang w:val="en-US" w:eastAsia="zh-CN"/>
              </w:rPr>
              <w:t>进行防腐防渗处理</w:t>
            </w:r>
            <w:r>
              <w:rPr>
                <w:rFonts w:hint="eastAsia" w:ascii="Times New Roman" w:hAnsi="Times New Roman" w:eastAsia="宋体" w:cs="Times New Roman"/>
                <w:color w:val="auto"/>
                <w:sz w:val="24"/>
                <w:szCs w:val="24"/>
                <w:highlight w:val="none"/>
                <w:lang w:val="en-US" w:eastAsia="zh-CN"/>
              </w:rPr>
              <w:t>，经上述措施，本项目不存在土壤、地下水污染途径，因此不开展土壤环境现状调查</w:t>
            </w:r>
            <w:r>
              <w:rPr>
                <w:rStyle w:val="62"/>
                <w:rFonts w:hint="default" w:ascii="Times New Roman" w:hAnsi="Times New Roman"/>
                <w:color w:val="auto"/>
              </w:rPr>
              <w:t>。</w:t>
            </w:r>
          </w:p>
        </w:tc>
      </w:tr>
      <w:tr w14:paraId="2C3FD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62" w:type="dxa"/>
            <w:noWrap w:val="0"/>
            <w:vAlign w:val="center"/>
          </w:tcPr>
          <w:p w14:paraId="134743B1">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w:t>
            </w:r>
          </w:p>
          <w:p w14:paraId="2397CF02">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保护</w:t>
            </w:r>
          </w:p>
          <w:p w14:paraId="3708C21A">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目标</w:t>
            </w:r>
          </w:p>
        </w:tc>
        <w:tc>
          <w:tcPr>
            <w:tcW w:w="8428" w:type="dxa"/>
            <w:noWrap w:val="0"/>
            <w:vAlign w:val="center"/>
          </w:tcPr>
          <w:p w14:paraId="26FCF298">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根据现场勘查，本项目周边环境保护情况如下：</w:t>
            </w:r>
          </w:p>
          <w:p w14:paraId="094F2476">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1、环境空气保护目标</w:t>
            </w:r>
          </w:p>
          <w:p w14:paraId="72BA62EA">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项目厂界外500m范围存在大气环境保护目标，本项目环境保护目标见表3-</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eastAsia="zh-CN"/>
                <w14:textFill>
                  <w14:solidFill>
                    <w14:schemeClr w14:val="tx1"/>
                  </w14:solidFill>
                </w14:textFill>
              </w:rPr>
              <w:t>。</w:t>
            </w:r>
          </w:p>
          <w:p w14:paraId="69A2CEE4">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2、声环境保护目标</w:t>
            </w:r>
          </w:p>
          <w:p w14:paraId="4AF5DD5A">
            <w:pPr>
              <w:numPr>
                <w:ilvl w:val="0"/>
                <w:numId w:val="0"/>
              </w:numPr>
              <w:tabs>
                <w:tab w:val="left" w:pos="4847"/>
              </w:tabs>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经现场踏勘，项目厂界外50米范围内无医院、学校、机关、科研单位、住宅、自然保护区等声环境保护目标。</w:t>
            </w:r>
          </w:p>
          <w:p w14:paraId="137FC149">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3、地下水环境保护目标</w:t>
            </w:r>
          </w:p>
          <w:p w14:paraId="6C82E0DE">
            <w:pPr>
              <w:numPr>
                <w:ilvl w:val="0"/>
                <w:numId w:val="0"/>
              </w:numPr>
              <w:tabs>
                <w:tab w:val="left" w:pos="4847"/>
              </w:tabs>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经调查，项目厂界外500米范围内无地下水集中式饮用水水源和热水、矿泉水、温泉等特殊地下水资源。</w:t>
            </w:r>
          </w:p>
          <w:p w14:paraId="79CE933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表3-</w:t>
            </w:r>
            <w:r>
              <w:rPr>
                <w:rFonts w:hint="default" w:ascii="Times New Roman" w:hAnsi="Times New Roman" w:cs="Times New Roman"/>
                <w:b/>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14:textFill>
                  <w14:solidFill>
                    <w14:schemeClr w14:val="tx1"/>
                  </w14:solidFill>
                </w14:textFill>
              </w:rPr>
              <w:t xml:space="preserve">  环境保护目标情况</w:t>
            </w:r>
          </w:p>
          <w:tbl>
            <w:tblPr>
              <w:tblStyle w:val="22"/>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438"/>
              <w:gridCol w:w="1335"/>
              <w:gridCol w:w="1067"/>
              <w:gridCol w:w="941"/>
              <w:gridCol w:w="690"/>
              <w:gridCol w:w="660"/>
              <w:gridCol w:w="690"/>
              <w:gridCol w:w="675"/>
              <w:gridCol w:w="885"/>
              <w:gridCol w:w="793"/>
            </w:tblGrid>
            <w:tr w14:paraId="09F8C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267" w:type="pct"/>
                  <w:vMerge w:val="restart"/>
                  <w:tcBorders>
                    <w:tl2br w:val="nil"/>
                    <w:tr2bl w:val="nil"/>
                  </w:tcBorders>
                  <w:noWrap w:val="0"/>
                  <w:vAlign w:val="center"/>
                </w:tcPr>
                <w:p w14:paraId="24A9F208">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cs="Times New Roman"/>
                      <w:color w:val="000000" w:themeColor="text1"/>
                      <w:kern w:val="44"/>
                      <w:sz w:val="21"/>
                      <w:szCs w:val="21"/>
                      <w:lang w:eastAsia="zh-CN"/>
                      <w14:textFill>
                        <w14:solidFill>
                          <w14:schemeClr w14:val="tx1"/>
                        </w14:solidFill>
                      </w14:textFill>
                    </w:rPr>
                    <w:t>大气</w:t>
                  </w:r>
                  <w:r>
                    <w:rPr>
                      <w:rFonts w:hint="default" w:ascii="Times New Roman" w:hAnsi="Times New Roman" w:eastAsia="宋体" w:cs="Times New Roman"/>
                      <w:color w:val="000000" w:themeColor="text1"/>
                      <w:kern w:val="44"/>
                      <w:sz w:val="21"/>
                      <w:szCs w:val="21"/>
                      <w14:textFill>
                        <w14:solidFill>
                          <w14:schemeClr w14:val="tx1"/>
                        </w14:solidFill>
                      </w14:textFill>
                    </w:rPr>
                    <w:t>环境要素</w:t>
                  </w:r>
                </w:p>
              </w:tc>
              <w:tc>
                <w:tcPr>
                  <w:tcW w:w="816" w:type="pct"/>
                  <w:vMerge w:val="restart"/>
                  <w:tcBorders>
                    <w:tl2br w:val="nil"/>
                    <w:tr2bl w:val="nil"/>
                  </w:tcBorders>
                  <w:noWrap w:val="0"/>
                  <w:vAlign w:val="center"/>
                </w:tcPr>
                <w:p w14:paraId="09E08A10">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名称</w:t>
                  </w:r>
                </w:p>
              </w:tc>
              <w:tc>
                <w:tcPr>
                  <w:tcW w:w="1228" w:type="pct"/>
                  <w:gridSpan w:val="2"/>
                  <w:tcBorders>
                    <w:tl2br w:val="nil"/>
                    <w:tr2bl w:val="nil"/>
                  </w:tcBorders>
                  <w:noWrap w:val="0"/>
                  <w:vAlign w:val="center"/>
                </w:tcPr>
                <w:p w14:paraId="0D7D60CE">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坐标（度）</w:t>
                  </w:r>
                </w:p>
              </w:tc>
              <w:tc>
                <w:tcPr>
                  <w:tcW w:w="422" w:type="pct"/>
                  <w:vMerge w:val="restart"/>
                  <w:tcBorders>
                    <w:tl2br w:val="nil"/>
                    <w:tr2bl w:val="nil"/>
                  </w:tcBorders>
                  <w:noWrap w:val="0"/>
                  <w:vAlign w:val="center"/>
                </w:tcPr>
                <w:p w14:paraId="63A084BD">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保护对象</w:t>
                  </w:r>
                </w:p>
              </w:tc>
              <w:tc>
                <w:tcPr>
                  <w:tcW w:w="403" w:type="pct"/>
                  <w:vMerge w:val="restart"/>
                  <w:tcBorders>
                    <w:tl2br w:val="nil"/>
                    <w:tr2bl w:val="nil"/>
                  </w:tcBorders>
                  <w:noWrap w:val="0"/>
                  <w:vAlign w:val="center"/>
                </w:tcPr>
                <w:p w14:paraId="3D5B5701">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保护内容</w:t>
                  </w:r>
                </w:p>
              </w:tc>
              <w:tc>
                <w:tcPr>
                  <w:tcW w:w="422" w:type="pct"/>
                  <w:vMerge w:val="restart"/>
                  <w:tcBorders>
                    <w:tl2br w:val="nil"/>
                    <w:tr2bl w:val="nil"/>
                  </w:tcBorders>
                  <w:noWrap w:val="0"/>
                  <w:vAlign w:val="center"/>
                </w:tcPr>
                <w:p w14:paraId="5669F52C">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环境功能区</w:t>
                  </w:r>
                </w:p>
              </w:tc>
              <w:tc>
                <w:tcPr>
                  <w:tcW w:w="412" w:type="pct"/>
                  <w:vMerge w:val="restart"/>
                  <w:tcBorders>
                    <w:tl2br w:val="nil"/>
                    <w:tr2bl w:val="nil"/>
                  </w:tcBorders>
                  <w:noWrap w:val="0"/>
                  <w:vAlign w:val="center"/>
                </w:tcPr>
                <w:p w14:paraId="1123170A">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相对</w:t>
                  </w:r>
                </w:p>
                <w:p w14:paraId="0AE91EE0">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方位</w:t>
                  </w:r>
                </w:p>
              </w:tc>
              <w:tc>
                <w:tcPr>
                  <w:tcW w:w="541" w:type="pct"/>
                  <w:vMerge w:val="restart"/>
                  <w:tcBorders>
                    <w:tl2br w:val="nil"/>
                    <w:tr2bl w:val="nil"/>
                  </w:tcBorders>
                  <w:noWrap w:val="0"/>
                  <w:vAlign w:val="center"/>
                </w:tcPr>
                <w:p w14:paraId="293F0330">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相对厂界距离（m）</w:t>
                  </w:r>
                </w:p>
              </w:tc>
              <w:tc>
                <w:tcPr>
                  <w:tcW w:w="485" w:type="pct"/>
                  <w:vMerge w:val="restart"/>
                  <w:tcBorders>
                    <w:tl2br w:val="nil"/>
                    <w:tr2bl w:val="nil"/>
                  </w:tcBorders>
                  <w:noWrap w:val="0"/>
                  <w:vAlign w:val="center"/>
                </w:tcPr>
                <w:p w14:paraId="70340C59">
                  <w:pPr>
                    <w:spacing w:line="240" w:lineRule="atLeast"/>
                    <w:jc w:val="center"/>
                    <w:rPr>
                      <w:rFonts w:hint="default" w:ascii="Times New Roman" w:hAnsi="Times New Roman" w:eastAsia="宋体" w:cs="Times New Roman"/>
                      <w:b/>
                      <w:bCs/>
                      <w:color w:val="000000" w:themeColor="text1"/>
                      <w:kern w:val="44"/>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44"/>
                      <w:sz w:val="21"/>
                      <w:szCs w:val="21"/>
                      <w:lang w:val="en-US" w:eastAsia="zh-CN"/>
                      <w14:textFill>
                        <w14:solidFill>
                          <w14:schemeClr w14:val="tx1"/>
                        </w14:solidFill>
                      </w14:textFill>
                    </w:rPr>
                    <w:t>人口数</w:t>
                  </w:r>
                </w:p>
              </w:tc>
            </w:tr>
            <w:tr w14:paraId="0569D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267" w:type="pct"/>
                  <w:vMerge w:val="continue"/>
                  <w:tcBorders>
                    <w:tl2br w:val="nil"/>
                    <w:tr2bl w:val="nil"/>
                  </w:tcBorders>
                  <w:noWrap w:val="0"/>
                  <w:vAlign w:val="center"/>
                </w:tcPr>
                <w:p w14:paraId="2DEB9D5C">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816" w:type="pct"/>
                  <w:vMerge w:val="continue"/>
                  <w:tcBorders>
                    <w:tl2br w:val="nil"/>
                    <w:tr2bl w:val="nil"/>
                  </w:tcBorders>
                  <w:noWrap w:val="0"/>
                  <w:vAlign w:val="center"/>
                </w:tcPr>
                <w:p w14:paraId="1EFF2DAA">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652" w:type="pct"/>
                  <w:tcBorders>
                    <w:tl2br w:val="nil"/>
                    <w:tr2bl w:val="nil"/>
                  </w:tcBorders>
                  <w:noWrap w:val="0"/>
                  <w:vAlign w:val="center"/>
                </w:tcPr>
                <w:p w14:paraId="4BA39ACB">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经度</w:t>
                  </w:r>
                </w:p>
              </w:tc>
              <w:tc>
                <w:tcPr>
                  <w:tcW w:w="575" w:type="pct"/>
                  <w:tcBorders>
                    <w:tl2br w:val="nil"/>
                    <w:tr2bl w:val="nil"/>
                  </w:tcBorders>
                  <w:noWrap w:val="0"/>
                  <w:vAlign w:val="center"/>
                </w:tcPr>
                <w:p w14:paraId="5DCA1895">
                  <w:pPr>
                    <w:spacing w:line="240" w:lineRule="atLeast"/>
                    <w:jc w:val="center"/>
                    <w:rPr>
                      <w:rFonts w:hint="default" w:ascii="Times New Roman" w:hAnsi="Times New Roman" w:eastAsia="宋体" w:cs="Times New Roman"/>
                      <w:b/>
                      <w:bCs/>
                      <w:color w:val="000000" w:themeColor="text1"/>
                      <w:kern w:val="44"/>
                      <w:sz w:val="21"/>
                      <w:szCs w:val="21"/>
                      <w14:textFill>
                        <w14:solidFill>
                          <w14:schemeClr w14:val="tx1"/>
                        </w14:solidFill>
                      </w14:textFill>
                    </w:rPr>
                  </w:pPr>
                  <w:r>
                    <w:rPr>
                      <w:rFonts w:hint="default" w:ascii="Times New Roman" w:hAnsi="Times New Roman" w:eastAsia="宋体" w:cs="Times New Roman"/>
                      <w:b/>
                      <w:bCs/>
                      <w:color w:val="000000" w:themeColor="text1"/>
                      <w:kern w:val="44"/>
                      <w:sz w:val="21"/>
                      <w:szCs w:val="21"/>
                      <w14:textFill>
                        <w14:solidFill>
                          <w14:schemeClr w14:val="tx1"/>
                        </w14:solidFill>
                      </w14:textFill>
                    </w:rPr>
                    <w:t>纬度</w:t>
                  </w:r>
                </w:p>
              </w:tc>
              <w:tc>
                <w:tcPr>
                  <w:tcW w:w="422" w:type="pct"/>
                  <w:vMerge w:val="continue"/>
                  <w:tcBorders>
                    <w:tl2br w:val="nil"/>
                    <w:tr2bl w:val="nil"/>
                  </w:tcBorders>
                  <w:noWrap w:val="0"/>
                  <w:vAlign w:val="center"/>
                </w:tcPr>
                <w:p w14:paraId="04303565">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403" w:type="pct"/>
                  <w:vMerge w:val="continue"/>
                  <w:tcBorders>
                    <w:tl2br w:val="nil"/>
                    <w:tr2bl w:val="nil"/>
                  </w:tcBorders>
                  <w:noWrap w:val="0"/>
                  <w:vAlign w:val="center"/>
                </w:tcPr>
                <w:p w14:paraId="04AAB419">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422" w:type="pct"/>
                  <w:vMerge w:val="continue"/>
                  <w:tcBorders>
                    <w:tl2br w:val="nil"/>
                    <w:tr2bl w:val="nil"/>
                  </w:tcBorders>
                  <w:noWrap w:val="0"/>
                  <w:vAlign w:val="center"/>
                </w:tcPr>
                <w:p w14:paraId="57948D35">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412" w:type="pct"/>
                  <w:vMerge w:val="continue"/>
                  <w:tcBorders>
                    <w:tl2br w:val="nil"/>
                    <w:tr2bl w:val="nil"/>
                  </w:tcBorders>
                  <w:noWrap w:val="0"/>
                  <w:vAlign w:val="center"/>
                </w:tcPr>
                <w:p w14:paraId="29993F9F">
                  <w:pPr>
                    <w:spacing w:line="240" w:lineRule="atLeast"/>
                    <w:jc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541" w:type="pct"/>
                  <w:vMerge w:val="continue"/>
                  <w:tcBorders>
                    <w:tl2br w:val="nil"/>
                    <w:tr2bl w:val="nil"/>
                  </w:tcBorders>
                  <w:noWrap w:val="0"/>
                  <w:vAlign w:val="center"/>
                </w:tcPr>
                <w:p w14:paraId="3AC66624">
                  <w:pPr>
                    <w:keepNext w:val="0"/>
                    <w:keepLines w:val="0"/>
                    <w:widowControl/>
                    <w:suppressLineNumbers w:val="0"/>
                    <w:jc w:val="left"/>
                    <w:textAlignment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c>
                <w:tcPr>
                  <w:tcW w:w="485" w:type="pct"/>
                  <w:vMerge w:val="continue"/>
                  <w:tcBorders>
                    <w:tl2br w:val="nil"/>
                    <w:tr2bl w:val="nil"/>
                  </w:tcBorders>
                  <w:noWrap w:val="0"/>
                  <w:vAlign w:val="center"/>
                </w:tcPr>
                <w:p w14:paraId="087EEF54">
                  <w:pPr>
                    <w:keepNext w:val="0"/>
                    <w:keepLines w:val="0"/>
                    <w:widowControl/>
                    <w:suppressLineNumbers w:val="0"/>
                    <w:jc w:val="left"/>
                    <w:textAlignment w:val="center"/>
                    <w:rPr>
                      <w:rFonts w:hint="default" w:ascii="Times New Roman" w:hAnsi="Times New Roman" w:eastAsia="宋体" w:cs="Times New Roman"/>
                      <w:color w:val="000000" w:themeColor="text1"/>
                      <w:kern w:val="44"/>
                      <w:sz w:val="21"/>
                      <w:szCs w:val="21"/>
                      <w14:textFill>
                        <w14:solidFill>
                          <w14:schemeClr w14:val="tx1"/>
                        </w14:solidFill>
                      </w14:textFill>
                    </w:rPr>
                  </w:pPr>
                </w:p>
              </w:tc>
            </w:tr>
            <w:tr w14:paraId="7145B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267" w:type="pct"/>
                  <w:vMerge w:val="continue"/>
                  <w:tcBorders>
                    <w:tl2br w:val="nil"/>
                    <w:tr2bl w:val="nil"/>
                  </w:tcBorders>
                  <w:noWrap w:val="0"/>
                  <w:vAlign w:val="center"/>
                </w:tcPr>
                <w:p w14:paraId="2F80BA4D">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71CE071C">
                  <w:pPr>
                    <w:widowControl/>
                    <w:ind w:left="0" w:leftChars="0" w:right="0" w:rightChars="0"/>
                    <w:jc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东风村</w:t>
                  </w:r>
                </w:p>
              </w:tc>
              <w:tc>
                <w:tcPr>
                  <w:tcW w:w="652" w:type="pct"/>
                  <w:tcBorders>
                    <w:tl2br w:val="nil"/>
                    <w:tr2bl w:val="nil"/>
                  </w:tcBorders>
                  <w:noWrap w:val="0"/>
                  <w:vAlign w:val="center"/>
                </w:tcPr>
                <w:p w14:paraId="747956F2">
                  <w:pPr>
                    <w:widowControl/>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107.520781</w:t>
                  </w:r>
                </w:p>
              </w:tc>
              <w:tc>
                <w:tcPr>
                  <w:tcW w:w="575" w:type="pct"/>
                  <w:tcBorders>
                    <w:tl2br w:val="nil"/>
                    <w:tr2bl w:val="nil"/>
                  </w:tcBorders>
                  <w:noWrap w:val="0"/>
                  <w:vAlign w:val="center"/>
                </w:tcPr>
                <w:p w14:paraId="5E864CE8">
                  <w:pPr>
                    <w:widowControl/>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34.318376</w:t>
                  </w:r>
                </w:p>
              </w:tc>
              <w:tc>
                <w:tcPr>
                  <w:tcW w:w="422" w:type="pct"/>
                  <w:tcBorders>
                    <w:tl2br w:val="nil"/>
                    <w:tr2bl w:val="nil"/>
                  </w:tcBorders>
                  <w:noWrap w:val="0"/>
                  <w:vAlign w:val="center"/>
                </w:tcPr>
                <w:p w14:paraId="7C1D1300">
                  <w:pPr>
                    <w:widowControl/>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居民区</w:t>
                  </w:r>
                </w:p>
              </w:tc>
              <w:tc>
                <w:tcPr>
                  <w:tcW w:w="403" w:type="pct"/>
                  <w:vMerge w:val="restart"/>
                  <w:tcBorders>
                    <w:tl2br w:val="nil"/>
                    <w:tr2bl w:val="nil"/>
                  </w:tcBorders>
                  <w:noWrap w:val="0"/>
                  <w:vAlign w:val="center"/>
                </w:tcPr>
                <w:p w14:paraId="61F6034D">
                  <w:pPr>
                    <w:widowControl/>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人群健康</w:t>
                  </w:r>
                </w:p>
              </w:tc>
              <w:tc>
                <w:tcPr>
                  <w:tcW w:w="422" w:type="pct"/>
                  <w:vMerge w:val="restart"/>
                  <w:tcBorders>
                    <w:tl2br w:val="nil"/>
                    <w:tr2bl w:val="nil"/>
                  </w:tcBorders>
                  <w:noWrap w:val="0"/>
                  <w:vAlign w:val="center"/>
                </w:tcPr>
                <w:p w14:paraId="7E12A7A9">
                  <w:pPr>
                    <w:widowControl/>
                    <w:ind w:left="0" w:leftChars="0" w:right="0" w:right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二类区</w:t>
                  </w:r>
                </w:p>
              </w:tc>
              <w:tc>
                <w:tcPr>
                  <w:tcW w:w="412" w:type="pct"/>
                  <w:tcBorders>
                    <w:tl2br w:val="nil"/>
                    <w:tr2bl w:val="nil"/>
                  </w:tcBorders>
                  <w:noWrap w:val="0"/>
                  <w:vAlign w:val="center"/>
                </w:tcPr>
                <w:p w14:paraId="13370D30">
                  <w:pPr>
                    <w:widowControl/>
                    <w:autoSpaceDE/>
                    <w:autoSpaceDN/>
                    <w:spacing w:before="0" w:after="0" w:line="240" w:lineRule="auto"/>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西北</w:t>
                  </w:r>
                </w:p>
              </w:tc>
              <w:tc>
                <w:tcPr>
                  <w:tcW w:w="541" w:type="pct"/>
                  <w:tcBorders>
                    <w:tl2br w:val="nil"/>
                    <w:tr2bl w:val="nil"/>
                  </w:tcBorders>
                  <w:noWrap w:val="0"/>
                  <w:vAlign w:val="center"/>
                </w:tcPr>
                <w:p w14:paraId="5C566892">
                  <w:pPr>
                    <w:widowControl/>
                    <w:autoSpaceDE/>
                    <w:autoSpaceDN/>
                    <w:spacing w:before="0" w:after="0" w:line="240" w:lineRule="auto"/>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177</w:t>
                  </w:r>
                </w:p>
              </w:tc>
              <w:tc>
                <w:tcPr>
                  <w:tcW w:w="485" w:type="pct"/>
                  <w:tcBorders>
                    <w:tl2br w:val="nil"/>
                    <w:tr2bl w:val="nil"/>
                  </w:tcBorders>
                  <w:noWrap w:val="0"/>
                  <w:vAlign w:val="center"/>
                </w:tcPr>
                <w:p w14:paraId="29C212A6">
                  <w:pPr>
                    <w:widowControl/>
                    <w:autoSpaceDE/>
                    <w:autoSpaceDN/>
                    <w:spacing w:before="0" w:after="0" w:line="240" w:lineRule="auto"/>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20</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18人</w:t>
                  </w:r>
                </w:p>
              </w:tc>
            </w:tr>
            <w:tr w14:paraId="6A8C1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 w:hRule="atLeast"/>
                <w:jc w:val="center"/>
              </w:trPr>
              <w:tc>
                <w:tcPr>
                  <w:tcW w:w="267" w:type="pct"/>
                  <w:vMerge w:val="continue"/>
                  <w:tcBorders>
                    <w:tl2br w:val="nil"/>
                    <w:tr2bl w:val="nil"/>
                  </w:tcBorders>
                  <w:noWrap w:val="0"/>
                  <w:vAlign w:val="center"/>
                </w:tcPr>
                <w:p w14:paraId="4E6BB608">
                  <w:pPr>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16" w:type="pct"/>
                  <w:tcBorders>
                    <w:tl2br w:val="nil"/>
                    <w:tr2bl w:val="nil"/>
                  </w:tcBorders>
                  <w:noWrap w:val="0"/>
                  <w:vAlign w:val="center"/>
                </w:tcPr>
                <w:p w14:paraId="2AF58E41">
                  <w:pPr>
                    <w:widowControl/>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阳平镇第二九年制学校</w:t>
                  </w:r>
                </w:p>
              </w:tc>
              <w:tc>
                <w:tcPr>
                  <w:tcW w:w="652" w:type="pct"/>
                  <w:tcBorders>
                    <w:tl2br w:val="nil"/>
                    <w:tr2bl w:val="nil"/>
                  </w:tcBorders>
                  <w:noWrap w:val="0"/>
                  <w:vAlign w:val="center"/>
                </w:tcPr>
                <w:p w14:paraId="53FE9397">
                  <w:pPr>
                    <w:widowControl/>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107.521940</w:t>
                  </w:r>
                </w:p>
              </w:tc>
              <w:tc>
                <w:tcPr>
                  <w:tcW w:w="575" w:type="pct"/>
                  <w:tcBorders>
                    <w:tl2br w:val="nil"/>
                    <w:tr2bl w:val="nil"/>
                  </w:tcBorders>
                  <w:noWrap w:val="0"/>
                  <w:vAlign w:val="center"/>
                </w:tcPr>
                <w:p w14:paraId="2B773490">
                  <w:pPr>
                    <w:widowControl/>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34.319642</w:t>
                  </w:r>
                </w:p>
              </w:tc>
              <w:tc>
                <w:tcPr>
                  <w:tcW w:w="422" w:type="pct"/>
                  <w:tcBorders>
                    <w:tl2br w:val="nil"/>
                    <w:tr2bl w:val="nil"/>
                  </w:tcBorders>
                  <w:noWrap w:val="0"/>
                  <w:vAlign w:val="center"/>
                </w:tcPr>
                <w:p w14:paraId="690DB4E4">
                  <w:pPr>
                    <w:widowControl/>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学校</w:t>
                  </w:r>
                </w:p>
              </w:tc>
              <w:tc>
                <w:tcPr>
                  <w:tcW w:w="403" w:type="pct"/>
                  <w:vMerge w:val="continue"/>
                  <w:tcBorders>
                    <w:tl2br w:val="nil"/>
                    <w:tr2bl w:val="nil"/>
                  </w:tcBorders>
                  <w:noWrap w:val="0"/>
                  <w:vAlign w:val="center"/>
                </w:tcPr>
                <w:p w14:paraId="74543A1F">
                  <w:pPr>
                    <w:widowControl/>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p>
              </w:tc>
              <w:tc>
                <w:tcPr>
                  <w:tcW w:w="422" w:type="pct"/>
                  <w:vMerge w:val="continue"/>
                  <w:tcBorders>
                    <w:tl2br w:val="nil"/>
                    <w:tr2bl w:val="nil"/>
                  </w:tcBorders>
                  <w:noWrap w:val="0"/>
                  <w:vAlign w:val="center"/>
                </w:tcPr>
                <w:p w14:paraId="20F8DF6B">
                  <w:pPr>
                    <w:widowControl/>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p>
              </w:tc>
              <w:tc>
                <w:tcPr>
                  <w:tcW w:w="412" w:type="pct"/>
                  <w:tcBorders>
                    <w:tl2br w:val="nil"/>
                    <w:tr2bl w:val="nil"/>
                  </w:tcBorders>
                  <w:noWrap w:val="0"/>
                  <w:vAlign w:val="center"/>
                </w:tcPr>
                <w:p w14:paraId="56DB9AF3">
                  <w:pPr>
                    <w:widowControl/>
                    <w:autoSpaceDE/>
                    <w:autoSpaceDN/>
                    <w:spacing w:before="0" w:after="0" w:line="240" w:lineRule="auto"/>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西北</w:t>
                  </w:r>
                </w:p>
              </w:tc>
              <w:tc>
                <w:tcPr>
                  <w:tcW w:w="541" w:type="pct"/>
                  <w:tcBorders>
                    <w:tl2br w:val="nil"/>
                    <w:tr2bl w:val="nil"/>
                  </w:tcBorders>
                  <w:noWrap w:val="0"/>
                  <w:vAlign w:val="center"/>
                </w:tcPr>
                <w:p w14:paraId="5EA0C2A6">
                  <w:pPr>
                    <w:widowControl/>
                    <w:autoSpaceDE/>
                    <w:autoSpaceDN/>
                    <w:spacing w:before="0" w:after="0" w:line="240" w:lineRule="auto"/>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390</w:t>
                  </w:r>
                </w:p>
              </w:tc>
              <w:tc>
                <w:tcPr>
                  <w:tcW w:w="485" w:type="pct"/>
                  <w:tcBorders>
                    <w:tl2br w:val="nil"/>
                    <w:tr2bl w:val="nil"/>
                  </w:tcBorders>
                  <w:noWrap w:val="0"/>
                  <w:vAlign w:val="center"/>
                </w:tcPr>
                <w:p w14:paraId="2E247A1A">
                  <w:pPr>
                    <w:widowControl/>
                    <w:autoSpaceDE/>
                    <w:autoSpaceDN/>
                    <w:spacing w:before="0" w:after="0" w:line="240" w:lineRule="auto"/>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1360人</w:t>
                  </w:r>
                </w:p>
              </w:tc>
            </w:tr>
          </w:tbl>
          <w:p w14:paraId="1FCBFFD8">
            <w:pPr>
              <w:widowControl/>
              <w:adjustRightInd w:val="0"/>
              <w:snapToGrid w:val="0"/>
              <w:spacing w:line="360" w:lineRule="auto"/>
              <w:ind w:firstLine="482"/>
              <w:rPr>
                <w:rFonts w:hint="default" w:ascii="Times New Roman" w:hAnsi="Times New Roman" w:eastAsia="宋体" w:cs="Times New Roman"/>
                <w:color w:val="000000" w:themeColor="text1"/>
                <w:kern w:val="0"/>
                <w:szCs w:val="21"/>
                <w14:textFill>
                  <w14:solidFill>
                    <w14:schemeClr w14:val="tx1"/>
                  </w14:solidFill>
                </w14:textFill>
              </w:rPr>
            </w:pPr>
          </w:p>
        </w:tc>
      </w:tr>
      <w:tr w14:paraId="228BB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862" w:type="dxa"/>
            <w:noWrap w:val="0"/>
            <w:tcMar>
              <w:left w:w="28" w:type="dxa"/>
              <w:right w:w="28" w:type="dxa"/>
            </w:tcMar>
            <w:vAlign w:val="center"/>
          </w:tcPr>
          <w:p w14:paraId="1F784DAD">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污染</w:t>
            </w:r>
          </w:p>
          <w:p w14:paraId="727C000C">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物排</w:t>
            </w:r>
          </w:p>
          <w:p w14:paraId="0FE49A9C">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放控</w:t>
            </w:r>
          </w:p>
          <w:p w14:paraId="2F63A236">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制标</w:t>
            </w:r>
          </w:p>
          <w:p w14:paraId="6DE12291">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准</w:t>
            </w:r>
          </w:p>
        </w:tc>
        <w:tc>
          <w:tcPr>
            <w:tcW w:w="8428" w:type="dxa"/>
            <w:noWrap w:val="0"/>
            <w:vAlign w:val="center"/>
          </w:tcPr>
          <w:p w14:paraId="4D8BC7BC">
            <w:pPr>
              <w:widowControl/>
              <w:spacing w:before="120" w:beforeLines="50"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1、废气排放标准</w:t>
            </w:r>
          </w:p>
          <w:p w14:paraId="3A77D7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项目运营期</w:t>
            </w:r>
            <w:r>
              <w:rPr>
                <w:rFonts w:hint="default" w:ascii="Times New Roman" w:hAnsi="Times New Roman"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排放执行《</w:t>
            </w:r>
            <w:r>
              <w:rPr>
                <w:rFonts w:hint="default" w:ascii="Times New Roman" w:hAnsi="Times New Roman" w:cs="Times New Roman"/>
                <w:color w:val="000000" w:themeColor="text1"/>
                <w:sz w:val="24"/>
                <w:szCs w:val="24"/>
                <w:lang w:val="en-US" w:eastAsia="zh-CN"/>
                <w14:textFill>
                  <w14:solidFill>
                    <w14:schemeClr w14:val="tx1"/>
                  </w14:solidFill>
                </w14:textFill>
              </w:rPr>
              <w:t>大气污染物综合排放</w:t>
            </w:r>
            <w:r>
              <w:rPr>
                <w:rFonts w:hint="default" w:ascii="Times New Roman" w:hAnsi="Times New Roman" w:eastAsia="宋体" w:cs="Times New Roman"/>
                <w:color w:val="000000" w:themeColor="text1"/>
                <w:sz w:val="24"/>
                <w:szCs w:val="24"/>
                <w14:textFill>
                  <w14:solidFill>
                    <w14:schemeClr w14:val="tx1"/>
                  </w14:solidFill>
                </w14:textFill>
              </w:rPr>
              <w:t>标准》（GB</w:t>
            </w:r>
            <w:r>
              <w:rPr>
                <w:rFonts w:hint="default" w:ascii="Times New Roman" w:hAnsi="Times New Roman" w:cs="Times New Roman"/>
                <w:color w:val="000000" w:themeColor="text1"/>
                <w:sz w:val="24"/>
                <w:szCs w:val="24"/>
                <w:lang w:val="en-US" w:eastAsia="zh-CN"/>
                <w14:textFill>
                  <w14:solidFill>
                    <w14:schemeClr w14:val="tx1"/>
                  </w14:solidFill>
                </w14:textFill>
              </w:rPr>
              <w:t>16297-1996</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表2</w:t>
            </w:r>
            <w:r>
              <w:rPr>
                <w:rFonts w:hint="default" w:ascii="Times New Roman" w:hAnsi="Times New Roman" w:eastAsia="宋体" w:cs="Times New Roman"/>
                <w:color w:val="000000" w:themeColor="text1"/>
                <w:sz w:val="24"/>
                <w:szCs w:val="24"/>
                <w14:textFill>
                  <w14:solidFill>
                    <w14:schemeClr w14:val="tx1"/>
                  </w14:solidFill>
                </w14:textFill>
              </w:rPr>
              <w:t>中排放限值要求</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H</w:t>
            </w:r>
            <w:r>
              <w:rPr>
                <w:rFonts w:hint="default" w:ascii="Times New Roman" w:hAnsi="Times New Roman" w:cs="Times New Roman"/>
                <w:color w:val="000000" w:themeColor="text1"/>
                <w:spacing w:val="0"/>
                <w:position w:val="0"/>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S、NH</w:t>
            </w:r>
            <w:r>
              <w:rPr>
                <w:rFonts w:hint="default" w:ascii="Times New Roman" w:hAnsi="Times New Roman" w:cs="Times New Roman"/>
                <w:color w:val="000000" w:themeColor="text1"/>
                <w:spacing w:val="0"/>
                <w:positio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排放浓度执行《恶臭污染物排放标准》（GB14554-</w:t>
            </w:r>
            <w:r>
              <w:rPr>
                <w:rFonts w:hint="eastAsia" w:cs="Times New Roman"/>
                <w:color w:val="000000" w:themeColor="text1"/>
                <w:spacing w:val="0"/>
                <w:position w:val="0"/>
                <w:sz w:val="24"/>
                <w:szCs w:val="24"/>
                <w:highlight w:val="none"/>
                <w:lang w:val="en-US" w:eastAsia="zh-CN"/>
                <w14:textFill>
                  <w14:solidFill>
                    <w14:schemeClr w14:val="tx1"/>
                  </w14:solidFill>
                </w14:textFill>
              </w:rPr>
              <w:t>93</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）表1及表2中排放标准限值，</w:t>
            </w:r>
            <w:r>
              <w:rPr>
                <w:rFonts w:hint="default" w:ascii="Times New Roman" w:hAnsi="Times New Roman" w:eastAsia="宋体" w:cs="Times New Roman"/>
                <w:color w:val="auto"/>
                <w:sz w:val="24"/>
                <w:szCs w:val="24"/>
                <w:lang w:val="en-US" w:eastAsia="zh-CN"/>
              </w:rPr>
              <w:t>烘干工序中醇基燃料燃烧产生的废气执行《陕西省锅炉大气污染物排放标准》（DB61/1226-2018）表4燃油锅炉大气污染物排放浓度限值</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000000" w:themeColor="text1"/>
                <w:sz w:val="24"/>
                <w:szCs w:val="24"/>
                <w14:textFill>
                  <w14:solidFill>
                    <w14:schemeClr w14:val="tx1"/>
                  </w14:solidFill>
                </w14:textFill>
              </w:rPr>
              <w:t>排放标准详见表3-</w:t>
            </w:r>
            <w:r>
              <w:rPr>
                <w:rFonts w:hint="default" w:ascii="Times New Roman" w:hAnsi="Times New Roman" w:cs="Times New Roman"/>
                <w:color w:val="000000" w:themeColor="text1"/>
                <w:sz w:val="24"/>
                <w:szCs w:val="24"/>
                <w:lang w:val="en-US" w:eastAsia="zh-CN"/>
                <w14:textFill>
                  <w14:solidFill>
                    <w14:schemeClr w14:val="tx1"/>
                  </w14:solidFill>
                </w14:textFill>
              </w:rPr>
              <w:t>6、3-7</w:t>
            </w:r>
            <w:r>
              <w:rPr>
                <w:rFonts w:hint="eastAsia" w:cs="Times New Roman"/>
                <w:color w:val="000000" w:themeColor="text1"/>
                <w:sz w:val="24"/>
                <w:szCs w:val="24"/>
                <w:lang w:val="en-US" w:eastAsia="zh-CN"/>
                <w14:textFill>
                  <w14:solidFill>
                    <w14:schemeClr w14:val="tx1"/>
                  </w14:solidFill>
                </w14:textFill>
              </w:rPr>
              <w:t>、3-8</w:t>
            </w:r>
            <w:r>
              <w:rPr>
                <w:rFonts w:hint="default" w:ascii="Times New Roman" w:hAnsi="Times New Roman" w:eastAsia="宋体" w:cs="Times New Roman"/>
                <w:color w:val="000000" w:themeColor="text1"/>
                <w:sz w:val="24"/>
                <w:szCs w:val="24"/>
                <w14:textFill>
                  <w14:solidFill>
                    <w14:schemeClr w14:val="tx1"/>
                  </w14:solidFill>
                </w14:textFill>
              </w:rPr>
              <w:t>。</w:t>
            </w:r>
          </w:p>
          <w:p w14:paraId="5200F5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表3-6    大气污染物综合排放标准（摘录）</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014"/>
              <w:gridCol w:w="2927"/>
              <w:gridCol w:w="1903"/>
              <w:gridCol w:w="1905"/>
            </w:tblGrid>
            <w:tr w14:paraId="5005D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tcBorders>
                    <w:tl2br w:val="nil"/>
                    <w:tr2bl w:val="nil"/>
                  </w:tcBorders>
                  <w:noWrap w:val="0"/>
                  <w:vAlign w:val="center"/>
                </w:tcPr>
                <w:p w14:paraId="5CCC242E">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619" w:type="pct"/>
                  <w:tcBorders>
                    <w:tl2br w:val="nil"/>
                    <w:tr2bl w:val="nil"/>
                  </w:tcBorders>
                  <w:noWrap w:val="0"/>
                  <w:vAlign w:val="center"/>
                </w:tcPr>
                <w:p w14:paraId="35680BC3">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tc>
              <w:tc>
                <w:tcPr>
                  <w:tcW w:w="1789" w:type="pct"/>
                  <w:tcBorders>
                    <w:tl2br w:val="nil"/>
                    <w:tr2bl w:val="nil"/>
                  </w:tcBorders>
                  <w:noWrap w:val="0"/>
                  <w:vAlign w:val="center"/>
                </w:tcPr>
                <w:p w14:paraId="7B065006">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类别</w:t>
                  </w:r>
                </w:p>
              </w:tc>
              <w:tc>
                <w:tcPr>
                  <w:tcW w:w="1163" w:type="pct"/>
                  <w:tcBorders>
                    <w:tl2br w:val="nil"/>
                    <w:tr2bl w:val="nil"/>
                  </w:tcBorders>
                  <w:noWrap w:val="0"/>
                  <w:vAlign w:val="center"/>
                </w:tcPr>
                <w:p w14:paraId="32C77F5C">
                  <w:pPr>
                    <w:adjustRightInd w:val="0"/>
                    <w:snapToGrid w:val="0"/>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最高允许排放浓度mg/m</w:t>
                  </w:r>
                  <w:r>
                    <w:rPr>
                      <w:rFonts w:hint="default" w:ascii="Times New Roman" w:hAnsi="Times New Roman" w:cs="Times New Roman"/>
                      <w:b/>
                      <w:bCs/>
                      <w:color w:val="000000" w:themeColor="text1"/>
                      <w:szCs w:val="21"/>
                      <w:vertAlign w:val="superscript"/>
                      <w:lang w:val="en-US" w:eastAsia="zh-CN"/>
                      <w14:textFill>
                        <w14:solidFill>
                          <w14:schemeClr w14:val="tx1"/>
                        </w14:solidFill>
                      </w14:textFill>
                    </w:rPr>
                    <w:t>3</w:t>
                  </w:r>
                </w:p>
              </w:tc>
              <w:tc>
                <w:tcPr>
                  <w:tcW w:w="1164" w:type="pct"/>
                  <w:tcBorders>
                    <w:tl2br w:val="nil"/>
                    <w:tr2bl w:val="nil"/>
                  </w:tcBorders>
                  <w:noWrap w:val="0"/>
                  <w:vAlign w:val="center"/>
                </w:tcPr>
                <w:p w14:paraId="7C28E39A">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最高允许排放速率</w:t>
                  </w:r>
                  <w:r>
                    <w:rPr>
                      <w:rFonts w:hint="eastAsia" w:cs="Times New Roman"/>
                      <w:b/>
                      <w:bCs/>
                      <w:color w:val="000000" w:themeColor="text1"/>
                      <w:szCs w:val="21"/>
                      <w:lang w:val="en-US" w:eastAsia="zh-CN"/>
                      <w14:textFill>
                        <w14:solidFill>
                          <w14:schemeClr w14:val="tx1"/>
                        </w14:solidFill>
                      </w14:textFill>
                    </w:rPr>
                    <w:t>kg</w:t>
                  </w:r>
                  <w:r>
                    <w:rPr>
                      <w:rFonts w:hint="default" w:ascii="Times New Roman" w:hAnsi="Times New Roman" w:cs="Times New Roman"/>
                      <w:b/>
                      <w:bCs/>
                      <w:color w:val="000000" w:themeColor="text1"/>
                      <w:szCs w:val="21"/>
                      <w:lang w:val="en-US" w:eastAsia="zh-CN"/>
                      <w14:textFill>
                        <w14:solidFill>
                          <w14:schemeClr w14:val="tx1"/>
                        </w14:solidFill>
                      </w14:textFill>
                    </w:rPr>
                    <w:t>/h</w:t>
                  </w:r>
                </w:p>
              </w:tc>
            </w:tr>
            <w:tr w14:paraId="0327D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tcBorders>
                    <w:tl2br w:val="nil"/>
                    <w:tr2bl w:val="nil"/>
                  </w:tcBorders>
                  <w:noWrap w:val="0"/>
                  <w:vAlign w:val="center"/>
                </w:tcPr>
                <w:p w14:paraId="2410F9D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619" w:type="pct"/>
                  <w:vMerge w:val="restart"/>
                  <w:tcBorders>
                    <w:tl2br w:val="nil"/>
                    <w:tr2bl w:val="nil"/>
                  </w:tcBorders>
                  <w:noWrap w:val="0"/>
                  <w:vAlign w:val="center"/>
                </w:tcPr>
                <w:p w14:paraId="0523A1CC">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1789" w:type="pct"/>
                  <w:tcBorders>
                    <w:tl2br w:val="nil"/>
                    <w:tr2bl w:val="nil"/>
                  </w:tcBorders>
                  <w:noWrap w:val="0"/>
                  <w:vAlign w:val="center"/>
                </w:tcPr>
                <w:p w14:paraId="51677AC0">
                  <w:pPr>
                    <w:adjustRightInd w:val="0"/>
                    <w:snapToGrid w:val="0"/>
                    <w:spacing w:line="240" w:lineRule="auto"/>
                    <w:ind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有组织</w:t>
                  </w:r>
                </w:p>
              </w:tc>
              <w:tc>
                <w:tcPr>
                  <w:tcW w:w="1163" w:type="pct"/>
                  <w:tcBorders>
                    <w:tl2br w:val="nil"/>
                    <w:tr2bl w:val="nil"/>
                  </w:tcBorders>
                  <w:noWrap w:val="0"/>
                  <w:vAlign w:val="center"/>
                </w:tcPr>
                <w:p w14:paraId="27E3D248">
                  <w:pPr>
                    <w:adjustRightInd w:val="0"/>
                    <w:snapToGrid w:val="0"/>
                    <w:spacing w:line="240" w:lineRule="auto"/>
                    <w:ind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120</w:t>
                  </w:r>
                </w:p>
              </w:tc>
              <w:tc>
                <w:tcPr>
                  <w:tcW w:w="1164" w:type="pct"/>
                  <w:tcBorders>
                    <w:tl2br w:val="nil"/>
                    <w:tr2bl w:val="nil"/>
                  </w:tcBorders>
                  <w:noWrap w:val="0"/>
                  <w:vAlign w:val="center"/>
                </w:tcPr>
                <w:p w14:paraId="5A334D04">
                  <w:pPr>
                    <w:adjustRightInd w:val="0"/>
                    <w:snapToGrid w:val="0"/>
                    <w:spacing w:line="240" w:lineRule="auto"/>
                    <w:ind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3.5</w:t>
                  </w:r>
                </w:p>
              </w:tc>
            </w:tr>
            <w:tr w14:paraId="492E8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tcBorders>
                    <w:tl2br w:val="nil"/>
                    <w:tr2bl w:val="nil"/>
                  </w:tcBorders>
                  <w:noWrap w:val="0"/>
                  <w:vAlign w:val="center"/>
                </w:tcPr>
                <w:p w14:paraId="315E5B3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619" w:type="pct"/>
                  <w:vMerge w:val="continue"/>
                  <w:tcBorders>
                    <w:tl2br w:val="nil"/>
                    <w:tr2bl w:val="nil"/>
                  </w:tcBorders>
                  <w:noWrap w:val="0"/>
                  <w:vAlign w:val="center"/>
                </w:tcPr>
                <w:p w14:paraId="2D2917A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789" w:type="pct"/>
                  <w:vMerge w:val="restart"/>
                  <w:tcBorders>
                    <w:tl2br w:val="nil"/>
                    <w:tr2bl w:val="nil"/>
                  </w:tcBorders>
                  <w:noWrap w:val="0"/>
                  <w:vAlign w:val="center"/>
                </w:tcPr>
                <w:p w14:paraId="0F2C92EB">
                  <w:pPr>
                    <w:adjustRightInd w:val="0"/>
                    <w:snapToGrid w:val="0"/>
                    <w:spacing w:line="240" w:lineRule="auto"/>
                    <w:ind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无组织排放监控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浓度限值</w:t>
                  </w:r>
                </w:p>
              </w:tc>
              <w:tc>
                <w:tcPr>
                  <w:tcW w:w="2328" w:type="pct"/>
                  <w:gridSpan w:val="2"/>
                  <w:tcBorders>
                    <w:tl2br w:val="nil"/>
                    <w:tr2bl w:val="nil"/>
                  </w:tcBorders>
                  <w:noWrap w:val="0"/>
                  <w:vAlign w:val="center"/>
                </w:tcPr>
                <w:p w14:paraId="6D77B089">
                  <w:pPr>
                    <w:adjustRightInd w:val="0"/>
                    <w:snapToGrid w:val="0"/>
                    <w:spacing w:line="240" w:lineRule="auto"/>
                    <w:ind w:firstLine="0" w:firstLineChars="0"/>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w:t>
                  </w:r>
                  <w:r>
                    <w:rPr>
                      <w:rFonts w:hint="default" w:ascii="Times New Roman" w:hAnsi="Times New Roman" w:cs="Times New Roman"/>
                      <w:b w:val="0"/>
                      <w:bCs w:val="0"/>
                      <w:color w:val="000000" w:themeColor="text1"/>
                      <w:szCs w:val="21"/>
                      <w:lang w:val="en-US" w:eastAsia="zh-CN"/>
                      <w14:textFill>
                        <w14:solidFill>
                          <w14:schemeClr w14:val="tx1"/>
                        </w14:solidFill>
                      </w14:textFill>
                    </w:rPr>
                    <w:t>mg/m</w:t>
                  </w:r>
                  <w:r>
                    <w:rPr>
                      <w:rFonts w:hint="default" w:ascii="Times New Roman" w:hAnsi="Times New Roman" w:cs="Times New Roman"/>
                      <w:b w:val="0"/>
                      <w:bCs w:val="0"/>
                      <w:color w:val="000000" w:themeColor="text1"/>
                      <w:szCs w:val="21"/>
                      <w:vertAlign w:val="superscript"/>
                      <w:lang w:val="en-US" w:eastAsia="zh-CN"/>
                      <w14:textFill>
                        <w14:solidFill>
                          <w14:schemeClr w14:val="tx1"/>
                        </w14:solidFill>
                      </w14:textFill>
                    </w:rPr>
                    <w:t>3</w:t>
                  </w:r>
                </w:p>
              </w:tc>
            </w:tr>
            <w:tr w14:paraId="10575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tcBorders>
                    <w:tl2br w:val="nil"/>
                    <w:tr2bl w:val="nil"/>
                  </w:tcBorders>
                  <w:noWrap w:val="0"/>
                  <w:vAlign w:val="center"/>
                </w:tcPr>
                <w:p w14:paraId="683B1AC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619" w:type="pct"/>
                  <w:tcBorders>
                    <w:tl2br w:val="nil"/>
                    <w:tr2bl w:val="nil"/>
                  </w:tcBorders>
                  <w:noWrap w:val="0"/>
                  <w:vAlign w:val="center"/>
                </w:tcPr>
                <w:p w14:paraId="3CD2DFAC">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甲醇</w:t>
                  </w:r>
                </w:p>
              </w:tc>
              <w:tc>
                <w:tcPr>
                  <w:tcW w:w="1789" w:type="pct"/>
                  <w:vMerge w:val="continue"/>
                  <w:tcBorders>
                    <w:tl2br w:val="nil"/>
                    <w:tr2bl w:val="nil"/>
                  </w:tcBorders>
                  <w:noWrap w:val="0"/>
                  <w:vAlign w:val="center"/>
                </w:tcPr>
                <w:p w14:paraId="2F77CDA3">
                  <w:pPr>
                    <w:adjustRightInd w:val="0"/>
                    <w:snapToGrid w:val="0"/>
                    <w:spacing w:line="240" w:lineRule="auto"/>
                    <w:ind w:firstLine="0" w:firstLineChars="0"/>
                    <w:jc w:val="center"/>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328" w:type="pct"/>
                  <w:gridSpan w:val="2"/>
                  <w:tcBorders>
                    <w:tl2br w:val="nil"/>
                    <w:tr2bl w:val="nil"/>
                  </w:tcBorders>
                  <w:noWrap w:val="0"/>
                  <w:vAlign w:val="center"/>
                </w:tcPr>
                <w:p w14:paraId="1822596B">
                  <w:pPr>
                    <w:adjustRightInd w:val="0"/>
                    <w:snapToGrid w:val="0"/>
                    <w:spacing w:line="240" w:lineRule="auto"/>
                    <w:ind w:firstLine="0" w:firstLineChars="0"/>
                    <w:jc w:val="center"/>
                    <w:outlineLvl w:val="9"/>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12.0</w:t>
                  </w:r>
                  <w:r>
                    <w:rPr>
                      <w:rFonts w:hint="default" w:ascii="Times New Roman" w:hAnsi="Times New Roman" w:cs="Times New Roman"/>
                      <w:b w:val="0"/>
                      <w:bCs w:val="0"/>
                      <w:color w:val="000000" w:themeColor="text1"/>
                      <w:szCs w:val="21"/>
                      <w:lang w:val="en-US" w:eastAsia="zh-CN"/>
                      <w14:textFill>
                        <w14:solidFill>
                          <w14:schemeClr w14:val="tx1"/>
                        </w14:solidFill>
                      </w14:textFill>
                    </w:rPr>
                    <w:t>mg/m</w:t>
                  </w:r>
                  <w:r>
                    <w:rPr>
                      <w:rFonts w:hint="default" w:ascii="Times New Roman" w:hAnsi="Times New Roman" w:cs="Times New Roman"/>
                      <w:b w:val="0"/>
                      <w:bCs w:val="0"/>
                      <w:color w:val="000000" w:themeColor="text1"/>
                      <w:szCs w:val="21"/>
                      <w:vertAlign w:val="superscript"/>
                      <w:lang w:val="en-US" w:eastAsia="zh-CN"/>
                      <w14:textFill>
                        <w14:solidFill>
                          <w14:schemeClr w14:val="tx1"/>
                        </w14:solidFill>
                      </w14:textFill>
                    </w:rPr>
                    <w:t>3</w:t>
                  </w:r>
                </w:p>
              </w:tc>
            </w:tr>
          </w:tbl>
          <w:p w14:paraId="027769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表3-7</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恶臭污染物排放标准（GB14554-93）</w:t>
            </w:r>
          </w:p>
          <w:tbl>
            <w:tblPr>
              <w:tblStyle w:val="23"/>
              <w:tblW w:w="5025"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365"/>
              <w:gridCol w:w="1"/>
              <w:gridCol w:w="1366"/>
              <w:gridCol w:w="1463"/>
              <w:gridCol w:w="2662"/>
            </w:tblGrid>
            <w:tr w14:paraId="4DEC9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14:paraId="6977C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序号</w:t>
                  </w:r>
                </w:p>
              </w:tc>
              <w:tc>
                <w:tcPr>
                  <w:tcW w:w="830" w:type="pct"/>
                  <w:gridSpan w:val="2"/>
                  <w:tcBorders>
                    <w:tl2br w:val="nil"/>
                    <w:tr2bl w:val="nil"/>
                  </w:tcBorders>
                  <w:vAlign w:val="center"/>
                </w:tcPr>
                <w:p w14:paraId="2CB74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污染物</w:t>
                  </w:r>
                </w:p>
              </w:tc>
              <w:tc>
                <w:tcPr>
                  <w:tcW w:w="830" w:type="pct"/>
                  <w:tcBorders>
                    <w:tl2br w:val="nil"/>
                    <w:tr2bl w:val="nil"/>
                  </w:tcBorders>
                  <w:vAlign w:val="center"/>
                </w:tcPr>
                <w:p w14:paraId="0712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类别</w:t>
                  </w:r>
                </w:p>
              </w:tc>
              <w:tc>
                <w:tcPr>
                  <w:tcW w:w="2508" w:type="pct"/>
                  <w:gridSpan w:val="2"/>
                  <w:tcBorders>
                    <w:tl2br w:val="nil"/>
                    <w:tr2bl w:val="nil"/>
                  </w:tcBorders>
                  <w:vAlign w:val="center"/>
                </w:tcPr>
                <w:p w14:paraId="30721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标准限值</w:t>
                  </w:r>
                </w:p>
              </w:tc>
            </w:tr>
            <w:tr w14:paraId="6AB57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14:paraId="2B980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1</w:t>
                  </w:r>
                </w:p>
              </w:tc>
              <w:tc>
                <w:tcPr>
                  <w:tcW w:w="830" w:type="pct"/>
                  <w:gridSpan w:val="2"/>
                  <w:tcBorders>
                    <w:tl2br w:val="nil"/>
                    <w:tr2bl w:val="nil"/>
                  </w:tcBorders>
                  <w:vAlign w:val="center"/>
                </w:tcPr>
                <w:p w14:paraId="477F8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氨</w:t>
                  </w:r>
                </w:p>
              </w:tc>
              <w:tc>
                <w:tcPr>
                  <w:tcW w:w="830" w:type="pct"/>
                  <w:vMerge w:val="restart"/>
                  <w:tcBorders>
                    <w:tl2br w:val="nil"/>
                    <w:tr2bl w:val="nil"/>
                  </w:tcBorders>
                  <w:vAlign w:val="center"/>
                </w:tcPr>
                <w:p w14:paraId="45649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厂界标准值</w:t>
                  </w:r>
                </w:p>
              </w:tc>
              <w:tc>
                <w:tcPr>
                  <w:tcW w:w="2508" w:type="pct"/>
                  <w:gridSpan w:val="2"/>
                  <w:tcBorders>
                    <w:tl2br w:val="nil"/>
                    <w:tr2bl w:val="nil"/>
                  </w:tcBorders>
                  <w:vAlign w:val="center"/>
                </w:tcPr>
                <w:p w14:paraId="1E7F5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1.5mg/m</w:t>
                  </w:r>
                  <w:r>
                    <w:rPr>
                      <w:rFonts w:hint="default" w:ascii="Times New Roman" w:hAnsi="Times New Roman" w:cs="Times New Roman"/>
                      <w:b w:val="0"/>
                      <w:bCs w:val="0"/>
                      <w:color w:val="000000" w:themeColor="text1"/>
                      <w:sz w:val="22"/>
                      <w:szCs w:val="22"/>
                      <w:vertAlign w:val="superscript"/>
                      <w:lang w:val="en-US" w:eastAsia="zh-CN"/>
                      <w14:textFill>
                        <w14:solidFill>
                          <w14:schemeClr w14:val="tx1"/>
                        </w14:solidFill>
                      </w14:textFill>
                    </w:rPr>
                    <w:t>3</w:t>
                  </w:r>
                </w:p>
              </w:tc>
            </w:tr>
            <w:tr w14:paraId="16029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14:paraId="6E6AB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2</w:t>
                  </w:r>
                </w:p>
              </w:tc>
              <w:tc>
                <w:tcPr>
                  <w:tcW w:w="830" w:type="pct"/>
                  <w:gridSpan w:val="2"/>
                  <w:tcBorders>
                    <w:tl2br w:val="nil"/>
                    <w:tr2bl w:val="nil"/>
                  </w:tcBorders>
                  <w:vAlign w:val="center"/>
                </w:tcPr>
                <w:p w14:paraId="6DF6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硫化氢</w:t>
                  </w:r>
                </w:p>
              </w:tc>
              <w:tc>
                <w:tcPr>
                  <w:tcW w:w="830" w:type="pct"/>
                  <w:vMerge w:val="continue"/>
                  <w:tcBorders>
                    <w:tl2br w:val="nil"/>
                    <w:tr2bl w:val="nil"/>
                  </w:tcBorders>
                  <w:vAlign w:val="center"/>
                </w:tcPr>
                <w:p w14:paraId="15A46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14:textFill>
                        <w14:solidFill>
                          <w14:schemeClr w14:val="tx1"/>
                        </w14:solidFill>
                      </w14:textFill>
                    </w:rPr>
                  </w:pPr>
                </w:p>
              </w:tc>
              <w:tc>
                <w:tcPr>
                  <w:tcW w:w="2508" w:type="pct"/>
                  <w:gridSpan w:val="2"/>
                  <w:tcBorders>
                    <w:tl2br w:val="nil"/>
                    <w:tr2bl w:val="nil"/>
                  </w:tcBorders>
                  <w:vAlign w:val="center"/>
                </w:tcPr>
                <w:p w14:paraId="49C0C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0.06mg/m</w:t>
                  </w:r>
                  <w:r>
                    <w:rPr>
                      <w:rFonts w:hint="default" w:ascii="Times New Roman" w:hAnsi="Times New Roman" w:cs="Times New Roman"/>
                      <w:b w:val="0"/>
                      <w:bCs w:val="0"/>
                      <w:color w:val="000000" w:themeColor="text1"/>
                      <w:sz w:val="22"/>
                      <w:szCs w:val="22"/>
                      <w:vertAlign w:val="superscript"/>
                      <w:lang w:val="en-US" w:eastAsia="zh-CN"/>
                      <w14:textFill>
                        <w14:solidFill>
                          <w14:schemeClr w14:val="tx1"/>
                        </w14:solidFill>
                      </w14:textFill>
                    </w:rPr>
                    <w:t>3</w:t>
                  </w:r>
                </w:p>
              </w:tc>
            </w:tr>
            <w:tr w14:paraId="5B7D8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14:paraId="0DF6A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w:t>
                  </w:r>
                </w:p>
              </w:tc>
              <w:tc>
                <w:tcPr>
                  <w:tcW w:w="830" w:type="pct"/>
                  <w:tcBorders>
                    <w:tl2br w:val="nil"/>
                    <w:tr2bl w:val="nil"/>
                  </w:tcBorders>
                  <w:vAlign w:val="center"/>
                </w:tcPr>
                <w:p w14:paraId="00B0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污染物</w:t>
                  </w:r>
                </w:p>
              </w:tc>
              <w:tc>
                <w:tcPr>
                  <w:tcW w:w="831" w:type="pct"/>
                  <w:gridSpan w:val="2"/>
                  <w:tcBorders>
                    <w:tl2br w:val="nil"/>
                    <w:tr2bl w:val="nil"/>
                  </w:tcBorders>
                  <w:vAlign w:val="center"/>
                </w:tcPr>
                <w:p w14:paraId="4667D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类别</w:t>
                  </w:r>
                </w:p>
              </w:tc>
              <w:tc>
                <w:tcPr>
                  <w:tcW w:w="889" w:type="pct"/>
                  <w:tcBorders>
                    <w:tl2br w:val="nil"/>
                    <w:tr2bl w:val="nil"/>
                  </w:tcBorders>
                  <w:vAlign w:val="center"/>
                </w:tcPr>
                <w:p w14:paraId="2B042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排放高度</w:t>
                  </w:r>
                </w:p>
              </w:tc>
              <w:tc>
                <w:tcPr>
                  <w:tcW w:w="1618" w:type="pct"/>
                  <w:tcBorders>
                    <w:tl2br w:val="nil"/>
                    <w:tr2bl w:val="nil"/>
                  </w:tcBorders>
                  <w:vAlign w:val="center"/>
                </w:tcPr>
                <w:p w14:paraId="42892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vertAlign w:val="baseline"/>
                      <w:lang w:val="en-US" w:eastAsia="zh-CN"/>
                      <w14:textFill>
                        <w14:solidFill>
                          <w14:schemeClr w14:val="tx1"/>
                        </w14:solidFill>
                      </w14:textFill>
                    </w:rPr>
                    <w:t>排放量</w:t>
                  </w:r>
                </w:p>
              </w:tc>
            </w:tr>
            <w:tr w14:paraId="0F30A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14:paraId="00FB6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cs="Times New Roman"/>
                      <w:b w:val="0"/>
                      <w:bCs w:val="0"/>
                      <w:color w:val="000000" w:themeColor="text1"/>
                      <w:sz w:val="22"/>
                      <w:szCs w:val="22"/>
                      <w:vertAlign w:val="baseline"/>
                      <w:lang w:val="en-US" w:eastAsia="zh-CN"/>
                      <w14:textFill>
                        <w14:solidFill>
                          <w14:schemeClr w14:val="tx1"/>
                        </w14:solidFill>
                      </w14:textFill>
                    </w:rPr>
                    <w:t>3</w:t>
                  </w:r>
                </w:p>
              </w:tc>
              <w:tc>
                <w:tcPr>
                  <w:tcW w:w="830" w:type="pct"/>
                  <w:gridSpan w:val="2"/>
                  <w:tcBorders>
                    <w:tl2br w:val="nil"/>
                    <w:tr2bl w:val="nil"/>
                  </w:tcBorders>
                  <w:vAlign w:val="center"/>
                </w:tcPr>
                <w:p w14:paraId="386DF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氨</w:t>
                  </w:r>
                </w:p>
              </w:tc>
              <w:tc>
                <w:tcPr>
                  <w:tcW w:w="830" w:type="pct"/>
                  <w:vMerge w:val="restart"/>
                  <w:tcBorders>
                    <w:tl2br w:val="nil"/>
                    <w:tr2bl w:val="nil"/>
                  </w:tcBorders>
                  <w:vAlign w:val="center"/>
                </w:tcPr>
                <w:p w14:paraId="0803C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有组织标准值</w:t>
                  </w:r>
                </w:p>
              </w:tc>
              <w:tc>
                <w:tcPr>
                  <w:tcW w:w="889" w:type="pct"/>
                  <w:vMerge w:val="restart"/>
                  <w:tcBorders>
                    <w:tl2br w:val="nil"/>
                    <w:tr2bl w:val="nil"/>
                  </w:tcBorders>
                  <w:vAlign w:val="center"/>
                </w:tcPr>
                <w:p w14:paraId="0E95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15m</w:t>
                  </w:r>
                </w:p>
              </w:tc>
              <w:tc>
                <w:tcPr>
                  <w:tcW w:w="1618" w:type="pct"/>
                  <w:tcBorders>
                    <w:tl2br w:val="nil"/>
                    <w:tr2bl w:val="nil"/>
                  </w:tcBorders>
                  <w:vAlign w:val="center"/>
                </w:tcPr>
                <w:p w14:paraId="07AE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4.9</w:t>
                  </w:r>
                  <w:r>
                    <w:rPr>
                      <w:rFonts w:hint="eastAsia" w:cs="Times New Roman"/>
                      <w:b w:val="0"/>
                      <w:bCs w:val="0"/>
                      <w:color w:val="000000" w:themeColor="text1"/>
                      <w:sz w:val="22"/>
                      <w:szCs w:val="22"/>
                      <w:vertAlign w:val="baseline"/>
                      <w:lang w:val="en-US" w:eastAsia="zh-CN"/>
                      <w14:textFill>
                        <w14:solidFill>
                          <w14:schemeClr w14:val="tx1"/>
                        </w14:solidFill>
                      </w14:textFill>
                    </w:rPr>
                    <w:t>kg</w:t>
                  </w: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/h</w:t>
                  </w:r>
                </w:p>
              </w:tc>
            </w:tr>
            <w:tr w14:paraId="022AF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14:paraId="3E978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cs="Times New Roman"/>
                      <w:b w:val="0"/>
                      <w:bCs w:val="0"/>
                      <w:color w:val="000000" w:themeColor="text1"/>
                      <w:sz w:val="22"/>
                      <w:szCs w:val="22"/>
                      <w:vertAlign w:val="baseline"/>
                      <w:lang w:val="en-US" w:eastAsia="zh-CN"/>
                      <w14:textFill>
                        <w14:solidFill>
                          <w14:schemeClr w14:val="tx1"/>
                        </w14:solidFill>
                      </w14:textFill>
                    </w:rPr>
                    <w:t>4</w:t>
                  </w:r>
                </w:p>
              </w:tc>
              <w:tc>
                <w:tcPr>
                  <w:tcW w:w="830" w:type="pct"/>
                  <w:gridSpan w:val="2"/>
                  <w:tcBorders>
                    <w:tl2br w:val="nil"/>
                    <w:tr2bl w:val="nil"/>
                  </w:tcBorders>
                  <w:vAlign w:val="center"/>
                </w:tcPr>
                <w:p w14:paraId="6001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硫化氢</w:t>
                  </w:r>
                </w:p>
              </w:tc>
              <w:tc>
                <w:tcPr>
                  <w:tcW w:w="830" w:type="pct"/>
                  <w:vMerge w:val="continue"/>
                  <w:tcBorders>
                    <w:tl2br w:val="nil"/>
                    <w:tr2bl w:val="nil"/>
                  </w:tcBorders>
                  <w:vAlign w:val="center"/>
                </w:tcPr>
                <w:p w14:paraId="05C78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2"/>
                      <w:szCs w:val="22"/>
                      <w:vertAlign w:val="baseline"/>
                      <w14:textFill>
                        <w14:solidFill>
                          <w14:schemeClr w14:val="tx1"/>
                        </w14:solidFill>
                      </w14:textFill>
                    </w:rPr>
                  </w:pPr>
                </w:p>
              </w:tc>
              <w:tc>
                <w:tcPr>
                  <w:tcW w:w="889" w:type="pct"/>
                  <w:vMerge w:val="continue"/>
                  <w:tcBorders>
                    <w:tl2br w:val="nil"/>
                    <w:tr2bl w:val="nil"/>
                  </w:tcBorders>
                  <w:vAlign w:val="center"/>
                </w:tcPr>
                <w:p w14:paraId="31890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14:textFill>
                        <w14:solidFill>
                          <w14:schemeClr w14:val="tx1"/>
                        </w14:solidFill>
                      </w14:textFill>
                    </w:rPr>
                  </w:pPr>
                </w:p>
              </w:tc>
              <w:tc>
                <w:tcPr>
                  <w:tcW w:w="1618" w:type="pct"/>
                  <w:tcBorders>
                    <w:tl2br w:val="nil"/>
                    <w:tr2bl w:val="nil"/>
                  </w:tcBorders>
                  <w:vAlign w:val="center"/>
                </w:tcPr>
                <w:p w14:paraId="1321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0.33</w:t>
                  </w:r>
                  <w:r>
                    <w:rPr>
                      <w:rFonts w:hint="eastAsia" w:cs="Times New Roman"/>
                      <w:b w:val="0"/>
                      <w:bCs w:val="0"/>
                      <w:color w:val="000000" w:themeColor="text1"/>
                      <w:sz w:val="22"/>
                      <w:szCs w:val="22"/>
                      <w:vertAlign w:val="baseline"/>
                      <w:lang w:val="en-US" w:eastAsia="zh-CN"/>
                      <w14:textFill>
                        <w14:solidFill>
                          <w14:schemeClr w14:val="tx1"/>
                        </w14:solidFill>
                      </w14:textFill>
                    </w:rPr>
                    <w:t>kg</w:t>
                  </w:r>
                  <w:r>
                    <w:rPr>
                      <w:rFonts w:hint="default" w:ascii="Times New Roman" w:hAnsi="Times New Roman" w:cs="Times New Roman"/>
                      <w:b w:val="0"/>
                      <w:bCs w:val="0"/>
                      <w:color w:val="000000" w:themeColor="text1"/>
                      <w:sz w:val="22"/>
                      <w:szCs w:val="22"/>
                      <w:vertAlign w:val="baseline"/>
                      <w:lang w:val="en-US" w:eastAsia="zh-CN"/>
                      <w14:textFill>
                        <w14:solidFill>
                          <w14:schemeClr w14:val="tx1"/>
                        </w14:solidFill>
                      </w14:textFill>
                    </w:rPr>
                    <w:t>/h</w:t>
                  </w:r>
                </w:p>
              </w:tc>
            </w:tr>
          </w:tbl>
          <w:p w14:paraId="01B906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表3-</w:t>
            </w:r>
            <w:r>
              <w:rPr>
                <w:rFonts w:hint="eastAsia" w:ascii="Times New Roman" w:hAnsi="Times New Roman" w:cs="Times New Roman"/>
                <w:b/>
                <w:color w:val="auto"/>
                <w:sz w:val="21"/>
                <w:szCs w:val="21"/>
                <w:lang w:val="en-US" w:eastAsia="zh-CN"/>
              </w:rPr>
              <w:t>8</w:t>
            </w:r>
            <w:r>
              <w:rPr>
                <w:rFonts w:hint="eastAsia"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锅炉大气污染物排放标准         单位:mg/m³</w:t>
            </w:r>
          </w:p>
          <w:tbl>
            <w:tblPr>
              <w:tblStyle w:val="23"/>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391"/>
              <w:gridCol w:w="2106"/>
              <w:gridCol w:w="2638"/>
            </w:tblGrid>
            <w:tr w14:paraId="204F4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l2br w:val="nil"/>
                    <w:tr2bl w:val="nil"/>
                  </w:tcBorders>
                  <w:noWrap w:val="0"/>
                  <w:vAlign w:val="top"/>
                </w:tcPr>
                <w:p w14:paraId="2A1F93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分类</w:t>
                  </w:r>
                </w:p>
              </w:tc>
              <w:tc>
                <w:tcPr>
                  <w:tcW w:w="850" w:type="pct"/>
                  <w:tcBorders>
                    <w:tl2br w:val="nil"/>
                    <w:tr2bl w:val="nil"/>
                  </w:tcBorders>
                  <w:noWrap w:val="0"/>
                  <w:vAlign w:val="top"/>
                </w:tcPr>
                <w:p w14:paraId="56D357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287" w:type="pct"/>
                  <w:tcBorders>
                    <w:tl2br w:val="nil"/>
                    <w:tr2bl w:val="nil"/>
                  </w:tcBorders>
                  <w:noWrap w:val="0"/>
                  <w:vAlign w:val="top"/>
                </w:tcPr>
                <w:p w14:paraId="6F64BF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二氧化硫</w:t>
                  </w:r>
                </w:p>
              </w:tc>
              <w:tc>
                <w:tcPr>
                  <w:tcW w:w="1612" w:type="pct"/>
                  <w:tcBorders>
                    <w:tl2br w:val="nil"/>
                    <w:tr2bl w:val="nil"/>
                  </w:tcBorders>
                  <w:noWrap w:val="0"/>
                  <w:vAlign w:val="top"/>
                </w:tcPr>
                <w:p w14:paraId="26AD91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氮氧化物（以NO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计）</w:t>
                  </w:r>
                </w:p>
              </w:tc>
            </w:tr>
            <w:tr w14:paraId="1076E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0" w:type="pct"/>
                  <w:tcBorders>
                    <w:tl2br w:val="nil"/>
                    <w:tr2bl w:val="nil"/>
                  </w:tcBorders>
                  <w:noWrap w:val="0"/>
                  <w:vAlign w:val="top"/>
                </w:tcPr>
                <w:p w14:paraId="682F87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燃油锅炉</w:t>
                  </w:r>
                </w:p>
              </w:tc>
              <w:tc>
                <w:tcPr>
                  <w:tcW w:w="850" w:type="pct"/>
                  <w:tcBorders>
                    <w:tl2br w:val="nil"/>
                    <w:tr2bl w:val="nil"/>
                  </w:tcBorders>
                  <w:noWrap w:val="0"/>
                  <w:vAlign w:val="top"/>
                </w:tcPr>
                <w:p w14:paraId="1E5CEA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287" w:type="pct"/>
                  <w:tcBorders>
                    <w:tl2br w:val="nil"/>
                    <w:tr2bl w:val="nil"/>
                  </w:tcBorders>
                  <w:noWrap w:val="0"/>
                  <w:vAlign w:val="top"/>
                </w:tcPr>
                <w:p w14:paraId="025E5D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1612" w:type="pct"/>
                  <w:tcBorders>
                    <w:tl2br w:val="nil"/>
                    <w:tr2bl w:val="nil"/>
                  </w:tcBorders>
                  <w:noWrap w:val="0"/>
                  <w:vAlign w:val="top"/>
                </w:tcPr>
                <w:p w14:paraId="386877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w:t>
                  </w:r>
                </w:p>
              </w:tc>
            </w:tr>
          </w:tbl>
          <w:p w14:paraId="4AB3531B">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2、噪声排放标准</w:t>
            </w:r>
          </w:p>
          <w:p w14:paraId="266895C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9" w:name="_Hlk41382489"/>
            <w:r>
              <w:rPr>
                <w:rFonts w:hint="default" w:ascii="Times New Roman" w:hAnsi="Times New Roman" w:eastAsia="宋体" w:cs="Times New Roman"/>
                <w:color w:val="000000" w:themeColor="text1"/>
                <w:sz w:val="24"/>
                <w:szCs w:val="24"/>
                <w14:textFill>
                  <w14:solidFill>
                    <w14:schemeClr w14:val="tx1"/>
                  </w14:solidFill>
                </w14:textFill>
              </w:rPr>
              <w:t>运营期厂界</w:t>
            </w:r>
            <w:r>
              <w:rPr>
                <w:rFonts w:hint="default" w:ascii="Times New Roman" w:hAnsi="Times New Roman" w:cs="Times New Roman"/>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14:textFill>
                  <w14:solidFill>
                    <w14:schemeClr w14:val="tx1"/>
                  </w14:solidFill>
                </w14:textFill>
              </w:rPr>
              <w:t>执行《工业企业厂界环境噪声排放标准》（GB12348-2008）2类标准限值</w:t>
            </w:r>
            <w:bookmarkEnd w:id="9"/>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详见表3-</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p>
          <w:p w14:paraId="079B7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bookmarkStart w:id="10" w:name="_Hlk41382497"/>
            <w:r>
              <w:rPr>
                <w:rFonts w:hint="default" w:ascii="Times New Roman" w:hAnsi="Times New Roman" w:eastAsia="宋体" w:cs="Times New Roman"/>
                <w:b/>
                <w:color w:val="000000" w:themeColor="text1"/>
                <w:sz w:val="21"/>
                <w:szCs w:val="21"/>
                <w14:textFill>
                  <w14:solidFill>
                    <w14:schemeClr w14:val="tx1"/>
                  </w14:solidFill>
                </w14:textFill>
              </w:rPr>
              <w:t>表3-</w:t>
            </w:r>
            <w:r>
              <w:rPr>
                <w:rFonts w:hint="eastAsia" w:cs="Times New Roman"/>
                <w:b/>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color w:val="000000" w:themeColor="text1"/>
                <w:sz w:val="21"/>
                <w:szCs w:val="21"/>
                <w14:textFill>
                  <w14:solidFill>
                    <w14:schemeClr w14:val="tx1"/>
                  </w14:solidFill>
                </w14:textFill>
              </w:rPr>
              <w:t xml:space="preserve"> 《工业企业厂界环境噪声排放标准》（GB12348-2008）单位dB（A）</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26"/>
              <w:gridCol w:w="2291"/>
              <w:gridCol w:w="1762"/>
            </w:tblGrid>
            <w:tr w14:paraId="5D6E7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1" w:type="pct"/>
                  <w:noWrap w:val="0"/>
                  <w:vAlign w:val="center"/>
                </w:tcPr>
                <w:p w14:paraId="3096AC13">
                  <w:pPr>
                    <w:widowControl/>
                    <w:autoSpaceDE w:val="0"/>
                    <w:adjustRightInd w:val="0"/>
                    <w:snapToGri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声环境功能区类别</w:t>
                  </w:r>
                </w:p>
              </w:tc>
              <w:tc>
                <w:tcPr>
                  <w:tcW w:w="1400" w:type="pct"/>
                  <w:noWrap w:val="0"/>
                  <w:vAlign w:val="center"/>
                </w:tcPr>
                <w:p w14:paraId="22CE7E98">
                  <w:pPr>
                    <w:widowControl/>
                    <w:autoSpaceDE w:val="0"/>
                    <w:adjustRightInd w:val="0"/>
                    <w:snapToGri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昼间</w:t>
                  </w:r>
                </w:p>
              </w:tc>
              <w:tc>
                <w:tcPr>
                  <w:tcW w:w="1077" w:type="pct"/>
                  <w:noWrap w:val="0"/>
                  <w:vAlign w:val="center"/>
                </w:tcPr>
                <w:p w14:paraId="5B6AF671">
                  <w:pPr>
                    <w:widowControl/>
                    <w:autoSpaceDE w:val="0"/>
                    <w:adjustRightInd w:val="0"/>
                    <w:snapToGrid w:val="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夜间</w:t>
                  </w:r>
                </w:p>
              </w:tc>
            </w:tr>
            <w:tr w14:paraId="3B274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21" w:type="pct"/>
                  <w:noWrap w:val="0"/>
                  <w:vAlign w:val="center"/>
                </w:tcPr>
                <w:p w14:paraId="3049D524">
                  <w:pPr>
                    <w:widowControl/>
                    <w:autoSpaceDE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2类</w:t>
                  </w:r>
                </w:p>
              </w:tc>
              <w:tc>
                <w:tcPr>
                  <w:tcW w:w="1400" w:type="pct"/>
                  <w:noWrap w:val="0"/>
                  <w:vAlign w:val="center"/>
                </w:tcPr>
                <w:p w14:paraId="7A13E993">
                  <w:pPr>
                    <w:widowControl/>
                    <w:autoSpaceDE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60</w:t>
                  </w:r>
                </w:p>
              </w:tc>
              <w:tc>
                <w:tcPr>
                  <w:tcW w:w="1077" w:type="pct"/>
                  <w:noWrap w:val="0"/>
                  <w:vAlign w:val="center"/>
                </w:tcPr>
                <w:p w14:paraId="1EC817DE">
                  <w:pPr>
                    <w:widowControl/>
                    <w:autoSpaceDE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50</w:t>
                  </w:r>
                </w:p>
              </w:tc>
            </w:tr>
            <w:bookmarkEnd w:id="10"/>
          </w:tbl>
          <w:p w14:paraId="4E0B7B11">
            <w:pPr>
              <w:widowControl/>
              <w:spacing w:line="360" w:lineRule="auto"/>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固体废物</w:t>
            </w:r>
          </w:p>
          <w:p w14:paraId="5ED1E04E">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bookmarkStart w:id="11" w:name="_Hlk41382555"/>
            <w:r>
              <w:rPr>
                <w:rFonts w:hint="default" w:ascii="Times New Roman" w:hAnsi="Times New Roman" w:eastAsia="宋体" w:cs="Times New Roman"/>
                <w:color w:val="000000" w:themeColor="text1"/>
                <w:sz w:val="24"/>
                <w:szCs w:val="24"/>
                <w14:textFill>
                  <w14:solidFill>
                    <w14:schemeClr w14:val="tx1"/>
                  </w14:solidFill>
                </w14:textFill>
              </w:rPr>
              <w:t>本项目固体废物的处理、处置均应满足《中华人民共和国固体废物污染环境防治法》中的有关规定要求。采用库房、包装工具（罐、桶、包装袋等）贮存一般工业固体废物过程的污染控制，其贮存过程应满足相应防渗漏、防雨淋、防扬尘等环境保护要求。</w:t>
            </w:r>
            <w:bookmarkEnd w:id="11"/>
          </w:p>
        </w:tc>
      </w:tr>
      <w:tr w14:paraId="26B7E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99" w:hRule="atLeast"/>
          <w:jc w:val="center"/>
        </w:trPr>
        <w:tc>
          <w:tcPr>
            <w:tcW w:w="862" w:type="dxa"/>
            <w:noWrap w:val="0"/>
            <w:vAlign w:val="center"/>
          </w:tcPr>
          <w:p w14:paraId="0D1D8C79">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总量</w:t>
            </w:r>
          </w:p>
          <w:p w14:paraId="28189B33">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控制</w:t>
            </w:r>
          </w:p>
          <w:p w14:paraId="23062AFA">
            <w:pPr>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指标</w:t>
            </w:r>
          </w:p>
        </w:tc>
        <w:tc>
          <w:tcPr>
            <w:tcW w:w="8428" w:type="dxa"/>
            <w:noWrap w:val="0"/>
            <w:vAlign w:val="center"/>
          </w:tcPr>
          <w:p w14:paraId="681386DC">
            <w:pPr>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根据“十四五”期间总量控制要求，</w:t>
            </w:r>
            <w:r>
              <w:rPr>
                <w:rFonts w:hint="default" w:ascii="Times New Roman" w:hAnsi="Times New Roman" w:cs="Times New Roman"/>
                <w:color w:val="000000" w:themeColor="text1"/>
                <w:sz w:val="24"/>
                <w:szCs w:val="32"/>
                <w:lang w:val="en-US" w:eastAsia="zh-CN"/>
                <w14:textFill>
                  <w14:solidFill>
                    <w14:schemeClr w14:val="tx1"/>
                  </w14:solidFill>
                </w14:textFill>
              </w:rPr>
              <w:t>并结合本项目实际情况，本项目涉及的总量控制指标为氮氧化物。本项目涉及的总量控制指标为氮氧化物：</w:t>
            </w:r>
            <w:r>
              <w:rPr>
                <w:rFonts w:hint="default" w:ascii="Times New Roman" w:hAnsi="Times New Roman" w:cs="Times New Roman"/>
                <w:color w:val="0000FF"/>
                <w:sz w:val="24"/>
                <w:szCs w:val="32"/>
                <w:lang w:val="en-US" w:eastAsia="zh-CN"/>
              </w:rPr>
              <w:t>0.14t/a。</w:t>
            </w:r>
          </w:p>
        </w:tc>
      </w:tr>
    </w:tbl>
    <w:p w14:paraId="046FFAFB">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6"/>
          <w:szCs w:val="36"/>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14:textFill>
            <w14:solidFill>
              <w14:schemeClr w14:val="tx1"/>
            </w14:solidFill>
          </w14:textFill>
        </w:rPr>
        <w:t>四、主要环境影响和保护措施</w:t>
      </w:r>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503"/>
      </w:tblGrid>
      <w:tr w14:paraId="1C018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478" w:type="dxa"/>
            <w:noWrap w:val="0"/>
            <w:tcMar>
              <w:left w:w="28" w:type="dxa"/>
              <w:right w:w="28" w:type="dxa"/>
            </w:tcMar>
            <w:vAlign w:val="center"/>
          </w:tcPr>
          <w:p w14:paraId="68950DBA">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施工</w:t>
            </w:r>
          </w:p>
          <w:p w14:paraId="19BB0BC8">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期环</w:t>
            </w:r>
          </w:p>
          <w:p w14:paraId="190A18F8">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境保</w:t>
            </w:r>
          </w:p>
          <w:p w14:paraId="59EB220F">
            <w:pPr>
              <w:pStyle w:val="20"/>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护措</w:t>
            </w:r>
          </w:p>
          <w:p w14:paraId="3EDC0B83">
            <w:pPr>
              <w:pStyle w:val="20"/>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施</w:t>
            </w:r>
          </w:p>
        </w:tc>
        <w:tc>
          <w:tcPr>
            <w:tcW w:w="8503" w:type="dxa"/>
            <w:noWrap w:val="0"/>
            <w:vAlign w:val="center"/>
          </w:tcPr>
          <w:p w14:paraId="76AE4A55">
            <w:pPr>
              <w:spacing w:line="360" w:lineRule="auto"/>
              <w:ind w:firstLine="480" w:firstLineChars="200"/>
              <w:rPr>
                <w:rFonts w:hint="default" w:ascii="Times New Roman" w:hAnsi="Times New Roman" w:eastAsia="宋体" w:cs="Times New Roman"/>
                <w:bCs/>
                <w:color w:val="000000" w:themeColor="text1"/>
                <w:kern w:val="44"/>
                <w:sz w:val="24"/>
                <w:szCs w:val="24"/>
                <w14:textFill>
                  <w14:solidFill>
                    <w14:schemeClr w14:val="tx1"/>
                  </w14:solidFill>
                </w14:textFill>
              </w:rPr>
            </w:pPr>
            <w:r>
              <w:rPr>
                <w:rFonts w:hint="eastAsia" w:ascii="Times New Roman" w:hAnsi="Times New Roman" w:eastAsia="宋体" w:cs="Times New Roman"/>
                <w:bCs/>
                <w:color w:val="auto"/>
                <w:kern w:val="44"/>
                <w:sz w:val="24"/>
                <w:szCs w:val="24"/>
                <w:lang w:val="en-US" w:eastAsia="zh-CN"/>
              </w:rPr>
              <w:t>经现场勘查，</w:t>
            </w:r>
            <w:r>
              <w:rPr>
                <w:rFonts w:hint="default" w:ascii="Times New Roman" w:hAnsi="Times New Roman" w:eastAsia="宋体" w:cs="Times New Roman"/>
                <w:bCs/>
                <w:color w:val="auto"/>
                <w:kern w:val="44"/>
                <w:sz w:val="24"/>
                <w:szCs w:val="24"/>
              </w:rPr>
              <w:t>本项目</w:t>
            </w:r>
            <w:r>
              <w:rPr>
                <w:rFonts w:hint="eastAsia" w:ascii="Times New Roman" w:hAnsi="Times New Roman" w:eastAsia="宋体" w:cs="Times New Roman"/>
                <w:bCs/>
                <w:color w:val="auto"/>
                <w:kern w:val="44"/>
                <w:sz w:val="24"/>
                <w:szCs w:val="24"/>
                <w:lang w:val="en-US" w:eastAsia="zh-CN"/>
              </w:rPr>
              <w:t>租用现有已建成空置厂房（租赁协议详见附件），</w:t>
            </w:r>
            <w:r>
              <w:rPr>
                <w:rFonts w:hint="default" w:ascii="Times New Roman" w:hAnsi="Times New Roman" w:eastAsia="宋体" w:cs="Times New Roman"/>
                <w:bCs/>
                <w:color w:val="auto"/>
                <w:kern w:val="44"/>
                <w:sz w:val="24"/>
                <w:szCs w:val="24"/>
              </w:rPr>
              <w:t>项目施工期</w:t>
            </w:r>
            <w:r>
              <w:rPr>
                <w:rFonts w:hint="eastAsia" w:cs="Times New Roman"/>
                <w:bCs/>
                <w:color w:val="auto"/>
                <w:kern w:val="44"/>
                <w:sz w:val="24"/>
                <w:szCs w:val="24"/>
                <w:lang w:eastAsia="zh-CN"/>
              </w:rPr>
              <w:t>主要</w:t>
            </w:r>
            <w:r>
              <w:rPr>
                <w:rFonts w:hint="default" w:ascii="Times New Roman" w:hAnsi="Times New Roman" w:eastAsia="宋体" w:cs="Times New Roman"/>
                <w:bCs/>
                <w:color w:val="auto"/>
                <w:kern w:val="44"/>
                <w:sz w:val="24"/>
                <w:szCs w:val="24"/>
              </w:rPr>
              <w:t>安装设备及调试运行</w:t>
            </w:r>
            <w:r>
              <w:rPr>
                <w:rFonts w:hint="default" w:ascii="Times New Roman" w:hAnsi="Times New Roman" w:eastAsia="宋体" w:cs="Times New Roman"/>
                <w:bCs/>
                <w:color w:val="auto"/>
                <w:kern w:val="44"/>
                <w:sz w:val="24"/>
                <w:szCs w:val="24"/>
                <w:lang w:eastAsia="zh-CN"/>
              </w:rPr>
              <w:t>。</w:t>
            </w:r>
            <w:r>
              <w:rPr>
                <w:rFonts w:hint="default" w:ascii="Times New Roman" w:hAnsi="Times New Roman" w:eastAsia="宋体" w:cs="Times New Roman"/>
                <w:bCs/>
                <w:color w:val="auto"/>
                <w:kern w:val="44"/>
                <w:sz w:val="24"/>
                <w:szCs w:val="24"/>
              </w:rPr>
              <w:t>施工期环境影响主要来自设备安装过程产生的噪声和少量包装垃圾，该部分噪声主要为瞬时噪声，其噪声值在70dB（A）～90dB（A）之间，对环境影响较小；包装垃圾产生量约为0.1t。且项目设备安装数量较少、工期较短，设备安装时噪声和少量固废随施工期结束而消除，因此项目施工期环境影响较小。</w:t>
            </w:r>
          </w:p>
        </w:tc>
      </w:tr>
      <w:tr w14:paraId="713E6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8" w:hRule="atLeast"/>
          <w:jc w:val="center"/>
        </w:trPr>
        <w:tc>
          <w:tcPr>
            <w:tcW w:w="478" w:type="dxa"/>
            <w:noWrap w:val="0"/>
            <w:tcMar>
              <w:left w:w="28" w:type="dxa"/>
              <w:right w:w="28" w:type="dxa"/>
            </w:tcMar>
            <w:vAlign w:val="center"/>
          </w:tcPr>
          <w:p w14:paraId="07CE0987">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运营</w:t>
            </w:r>
          </w:p>
          <w:p w14:paraId="5BFE552B">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期环</w:t>
            </w:r>
          </w:p>
          <w:p w14:paraId="307F86C8">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境影</w:t>
            </w:r>
          </w:p>
          <w:p w14:paraId="5410A774">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响和</w:t>
            </w:r>
          </w:p>
          <w:p w14:paraId="217FB7C6">
            <w:pPr>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保护</w:t>
            </w:r>
          </w:p>
          <w:p w14:paraId="6D8A50A7">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措施</w:t>
            </w:r>
          </w:p>
        </w:tc>
        <w:tc>
          <w:tcPr>
            <w:tcW w:w="8503" w:type="dxa"/>
            <w:noWrap w:val="0"/>
            <w:vAlign w:val="center"/>
          </w:tcPr>
          <w:p w14:paraId="5E769AF2">
            <w:pPr>
              <w:keepNext/>
              <w:keepLines/>
              <w:widowControl/>
              <w:adjustRightInd w:val="0"/>
              <w:snapToGrid w:val="0"/>
              <w:spacing w:line="360" w:lineRule="auto"/>
              <w:jc w:val="left"/>
              <w:outlineLvl w:val="1"/>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一、运营期大气环境影响和保护措施</w:t>
            </w:r>
          </w:p>
          <w:p w14:paraId="15D30936">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1、大气环境污染工序及源强分析</w:t>
            </w:r>
          </w:p>
          <w:p w14:paraId="67259C03">
            <w:pPr>
              <w:spacing w:line="360" w:lineRule="auto"/>
              <w:ind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（1）废气产排情况一览表</w:t>
            </w:r>
          </w:p>
          <w:p w14:paraId="527D96ED">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本项目运营期废气主要为</w:t>
            </w:r>
            <w:r>
              <w:rPr>
                <w:rFonts w:hint="eastAsia" w:cs="Times New Roman"/>
                <w:color w:val="000000" w:themeColor="text1"/>
                <w:kern w:val="0"/>
                <w:sz w:val="24"/>
                <w:szCs w:val="24"/>
                <w:lang w:val="en-US" w:eastAsia="zh-CN"/>
                <w14:textFill>
                  <w14:solidFill>
                    <w14:schemeClr w14:val="tx1"/>
                  </w14:solidFill>
                </w14:textFill>
              </w:rPr>
              <w:t>切断、</w:t>
            </w:r>
            <w:r>
              <w:rPr>
                <w:rFonts w:hint="default" w:ascii="Times New Roman" w:hAnsi="Times New Roman" w:cs="Times New Roman"/>
                <w:color w:val="000000" w:themeColor="text1"/>
                <w:kern w:val="0"/>
                <w:sz w:val="24"/>
                <w:szCs w:val="24"/>
                <w:lang w:val="en-US" w:eastAsia="zh-CN"/>
                <w14:textFill>
                  <w14:solidFill>
                    <w14:schemeClr w14:val="tx1"/>
                  </w14:solidFill>
                </w14:textFill>
              </w:rPr>
              <w:t>粉碎、</w:t>
            </w:r>
            <w:r>
              <w:rPr>
                <w:rFonts w:hint="eastAsia" w:cs="Times New Roman"/>
                <w:color w:val="000000" w:themeColor="text1"/>
                <w:kern w:val="0"/>
                <w:sz w:val="24"/>
                <w:szCs w:val="24"/>
                <w:lang w:val="en-US" w:eastAsia="zh-CN"/>
                <w14:textFill>
                  <w14:solidFill>
                    <w14:schemeClr w14:val="tx1"/>
                  </w14:solidFill>
                </w14:textFill>
              </w:rPr>
              <w:t>筛分、冷却</w:t>
            </w:r>
            <w:r>
              <w:rPr>
                <w:rFonts w:hint="default" w:ascii="Times New Roman" w:hAnsi="Times New Roman" w:cs="Times New Roman"/>
                <w:color w:val="000000" w:themeColor="text1"/>
                <w:kern w:val="0"/>
                <w:sz w:val="24"/>
                <w:szCs w:val="24"/>
                <w:lang w:val="en-US" w:eastAsia="zh-CN"/>
                <w14:textFill>
                  <w14:solidFill>
                    <w14:schemeClr w14:val="tx1"/>
                  </w14:solidFill>
                </w14:textFill>
              </w:rPr>
              <w:t>等过程产生的颗粒物及发酵过程产生的恶臭气体</w:t>
            </w:r>
            <w:r>
              <w:rPr>
                <w:rFonts w:hint="eastAsia" w:cs="Times New Roman"/>
                <w:color w:val="000000" w:themeColor="text1"/>
                <w:kern w:val="0"/>
                <w:sz w:val="24"/>
                <w:szCs w:val="24"/>
                <w:lang w:val="en-US" w:eastAsia="zh-CN"/>
                <w14:textFill>
                  <w14:solidFill>
                    <w14:schemeClr w14:val="tx1"/>
                  </w14:solidFill>
                </w14:textFill>
              </w:rPr>
              <w:t>（氨、硫化氢）</w:t>
            </w:r>
            <w:r>
              <w:rPr>
                <w:rFonts w:hint="default" w:ascii="Times New Roman" w:hAnsi="Times New Roman" w:cs="Times New Roman"/>
                <w:color w:val="000000" w:themeColor="text1"/>
                <w:kern w:val="0"/>
                <w:sz w:val="24"/>
                <w:szCs w:val="24"/>
                <w:lang w:val="en-US" w:eastAsia="zh-CN"/>
                <w14:textFill>
                  <w14:solidFill>
                    <w14:schemeClr w14:val="tx1"/>
                  </w14:solidFill>
                </w14:textFill>
              </w:rPr>
              <w:t>。粪肥经过发酵</w:t>
            </w:r>
            <w:r>
              <w:rPr>
                <w:rFonts w:hint="eastAsia" w:cs="Times New Roman"/>
                <w:color w:val="000000" w:themeColor="text1"/>
                <w:kern w:val="0"/>
                <w:sz w:val="24"/>
                <w:szCs w:val="24"/>
                <w:lang w:val="en-US" w:eastAsia="zh-CN"/>
                <w14:textFill>
                  <w14:solidFill>
                    <w14:schemeClr w14:val="tx1"/>
                  </w14:solidFill>
                </w14:textFill>
              </w:rPr>
              <w:t>熟化</w:t>
            </w:r>
            <w:r>
              <w:rPr>
                <w:rFonts w:hint="default" w:ascii="Times New Roman" w:hAnsi="Times New Roman" w:cs="Times New Roman"/>
                <w:color w:val="000000" w:themeColor="text1"/>
                <w:kern w:val="0"/>
                <w:sz w:val="24"/>
                <w:szCs w:val="24"/>
                <w:lang w:val="en-US" w:eastAsia="zh-CN"/>
                <w14:textFill>
                  <w14:solidFill>
                    <w14:schemeClr w14:val="tx1"/>
                  </w14:solidFill>
                </w14:textFill>
              </w:rPr>
              <w:t>之后，几乎无臭味，故发酵后的工序不考虑臭气的影响。</w:t>
            </w:r>
          </w:p>
          <w:p w14:paraId="34E97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表4-1 项目废气产排情况一览表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081"/>
              <w:gridCol w:w="1450"/>
              <w:gridCol w:w="1233"/>
              <w:gridCol w:w="1167"/>
              <w:gridCol w:w="918"/>
              <w:gridCol w:w="106"/>
              <w:gridCol w:w="1065"/>
              <w:gridCol w:w="893"/>
            </w:tblGrid>
            <w:tr w14:paraId="6922F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44008028">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产污环节</w:t>
                  </w:r>
                </w:p>
              </w:tc>
              <w:tc>
                <w:tcPr>
                  <w:tcW w:w="1625" w:type="pct"/>
                  <w:gridSpan w:val="2"/>
                  <w:tcBorders>
                    <w:tl2br w:val="nil"/>
                    <w:tr2bl w:val="nil"/>
                  </w:tcBorders>
                  <w:noWrap w:val="0"/>
                  <w:vAlign w:val="center"/>
                </w:tcPr>
                <w:p w14:paraId="788A03D1">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切断、筛分、粉碎、烘干、冷却</w:t>
                  </w:r>
                </w:p>
              </w:tc>
              <w:tc>
                <w:tcPr>
                  <w:tcW w:w="2513" w:type="pct"/>
                  <w:gridSpan w:val="5"/>
                  <w:tcBorders>
                    <w:tl2br w:val="nil"/>
                    <w:tr2bl w:val="nil"/>
                  </w:tcBorders>
                  <w:noWrap w:val="0"/>
                  <w:vAlign w:val="center"/>
                </w:tcPr>
                <w:p w14:paraId="69E9AEC9">
                  <w:pPr>
                    <w:adjustRightInd w:val="0"/>
                    <w:snapToGrid w:val="0"/>
                    <w:jc w:val="center"/>
                    <w:rPr>
                      <w:rFonts w:hint="default" w:ascii="Times New Roman" w:hAnsi="Times New Roman"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发酵</w:t>
                  </w:r>
                </w:p>
              </w:tc>
            </w:tr>
            <w:tr w14:paraId="09479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3B92E36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污染物种类</w:t>
                  </w:r>
                </w:p>
              </w:tc>
              <w:tc>
                <w:tcPr>
                  <w:tcW w:w="1625" w:type="pct"/>
                  <w:gridSpan w:val="2"/>
                  <w:tcBorders>
                    <w:tl2br w:val="nil"/>
                    <w:tr2bl w:val="nil"/>
                  </w:tcBorders>
                  <w:noWrap w:val="0"/>
                  <w:vAlign w:val="center"/>
                </w:tcPr>
                <w:p w14:paraId="22C10E13">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1327" w:type="pct"/>
                  <w:gridSpan w:val="3"/>
                  <w:tcBorders>
                    <w:tl2br w:val="nil"/>
                    <w:tr2bl w:val="nil"/>
                  </w:tcBorders>
                  <w:noWrap w:val="0"/>
                  <w:vAlign w:val="center"/>
                </w:tcPr>
                <w:p w14:paraId="059306A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p>
              </w:tc>
              <w:tc>
                <w:tcPr>
                  <w:tcW w:w="1186" w:type="pct"/>
                  <w:gridSpan w:val="2"/>
                  <w:tcBorders>
                    <w:tl2br w:val="nil"/>
                    <w:tr2bl w:val="nil"/>
                  </w:tcBorders>
                  <w:noWrap w:val="0"/>
                  <w:vAlign w:val="center"/>
                </w:tcPr>
                <w:p w14:paraId="627F59B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S</w:t>
                  </w:r>
                </w:p>
              </w:tc>
            </w:tr>
            <w:tr w14:paraId="0E26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1" w:type="pct"/>
                  <w:gridSpan w:val="2"/>
                  <w:tcBorders>
                    <w:tl2br w:val="nil"/>
                    <w:tr2bl w:val="nil"/>
                  </w:tcBorders>
                  <w:noWrap w:val="0"/>
                  <w:vAlign w:val="center"/>
                </w:tcPr>
                <w:p w14:paraId="4ABAC58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污染物产生量（t/a）</w:t>
                  </w:r>
                </w:p>
              </w:tc>
              <w:tc>
                <w:tcPr>
                  <w:tcW w:w="1625" w:type="pct"/>
                  <w:gridSpan w:val="2"/>
                  <w:tcBorders>
                    <w:tl2br w:val="nil"/>
                    <w:tr2bl w:val="nil"/>
                  </w:tcBorders>
                  <w:noWrap w:val="0"/>
                  <w:vAlign w:val="center"/>
                </w:tcPr>
                <w:p w14:paraId="68F3777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8.14</w:t>
                  </w:r>
                </w:p>
              </w:tc>
              <w:tc>
                <w:tcPr>
                  <w:tcW w:w="1327" w:type="pct"/>
                  <w:gridSpan w:val="3"/>
                  <w:tcBorders>
                    <w:tl2br w:val="nil"/>
                    <w:tr2bl w:val="nil"/>
                  </w:tcBorders>
                  <w:noWrap w:val="0"/>
                  <w:vAlign w:val="center"/>
                </w:tcPr>
                <w:p w14:paraId="49CE2E5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w:t>
                  </w:r>
                </w:p>
              </w:tc>
              <w:tc>
                <w:tcPr>
                  <w:tcW w:w="1186" w:type="pct"/>
                  <w:gridSpan w:val="2"/>
                  <w:tcBorders>
                    <w:tl2br w:val="nil"/>
                    <w:tr2bl w:val="nil"/>
                  </w:tcBorders>
                  <w:noWrap w:val="0"/>
                  <w:vAlign w:val="center"/>
                </w:tcPr>
                <w:p w14:paraId="6B77CD39">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0.96</w:t>
                  </w:r>
                </w:p>
              </w:tc>
            </w:tr>
            <w:tr w14:paraId="1BFC3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5DB89A3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排放形式</w:t>
                  </w:r>
                </w:p>
              </w:tc>
              <w:tc>
                <w:tcPr>
                  <w:tcW w:w="878" w:type="pct"/>
                  <w:tcBorders>
                    <w:tl2br w:val="nil"/>
                    <w:tr2bl w:val="nil"/>
                  </w:tcBorders>
                  <w:noWrap w:val="0"/>
                  <w:vAlign w:val="center"/>
                </w:tcPr>
                <w:p w14:paraId="228F902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746" w:type="pct"/>
                  <w:tcBorders>
                    <w:tl2br w:val="nil"/>
                    <w:tr2bl w:val="nil"/>
                  </w:tcBorders>
                  <w:noWrap w:val="0"/>
                  <w:vAlign w:val="center"/>
                </w:tcPr>
                <w:p w14:paraId="3D8E629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无组织</w:t>
                  </w:r>
                </w:p>
              </w:tc>
              <w:tc>
                <w:tcPr>
                  <w:tcW w:w="706" w:type="pct"/>
                  <w:tcBorders>
                    <w:tl2br w:val="nil"/>
                    <w:tr2bl w:val="nil"/>
                  </w:tcBorders>
                  <w:noWrap w:val="0"/>
                  <w:vAlign w:val="center"/>
                </w:tcPr>
                <w:p w14:paraId="2448C39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有组织</w:t>
                  </w:r>
                </w:p>
              </w:tc>
              <w:tc>
                <w:tcPr>
                  <w:tcW w:w="620" w:type="pct"/>
                  <w:gridSpan w:val="2"/>
                  <w:tcBorders>
                    <w:tl2br w:val="nil"/>
                    <w:tr2bl w:val="nil"/>
                  </w:tcBorders>
                  <w:noWrap w:val="0"/>
                  <w:vAlign w:val="center"/>
                </w:tcPr>
                <w:p w14:paraId="0AD715F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无组织</w:t>
                  </w:r>
                </w:p>
              </w:tc>
              <w:tc>
                <w:tcPr>
                  <w:tcW w:w="645" w:type="pct"/>
                  <w:tcBorders>
                    <w:tl2br w:val="nil"/>
                    <w:tr2bl w:val="nil"/>
                  </w:tcBorders>
                  <w:noWrap w:val="0"/>
                  <w:vAlign w:val="center"/>
                </w:tcPr>
                <w:p w14:paraId="4BEA4FE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有组织</w:t>
                  </w:r>
                </w:p>
              </w:tc>
              <w:tc>
                <w:tcPr>
                  <w:tcW w:w="540" w:type="pct"/>
                  <w:tcBorders>
                    <w:tl2br w:val="nil"/>
                    <w:tr2bl w:val="nil"/>
                  </w:tcBorders>
                  <w:noWrap w:val="0"/>
                  <w:vAlign w:val="center"/>
                </w:tcPr>
                <w:p w14:paraId="5A99B08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无组织</w:t>
                  </w:r>
                </w:p>
              </w:tc>
            </w:tr>
            <w:tr w14:paraId="1589D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tcBorders>
                    <w:tl2br w:val="nil"/>
                    <w:tr2bl w:val="nil"/>
                  </w:tcBorders>
                  <w:noWrap w:val="0"/>
                  <w:vAlign w:val="center"/>
                </w:tcPr>
                <w:p w14:paraId="25B9AEA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治理设施</w:t>
                  </w:r>
                </w:p>
              </w:tc>
              <w:tc>
                <w:tcPr>
                  <w:tcW w:w="654" w:type="pct"/>
                  <w:tcBorders>
                    <w:tl2br w:val="nil"/>
                    <w:tr2bl w:val="nil"/>
                  </w:tcBorders>
                  <w:noWrap w:val="0"/>
                  <w:vAlign w:val="center"/>
                </w:tcPr>
                <w:p w14:paraId="31F8E2F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处理设施</w:t>
                  </w:r>
                </w:p>
              </w:tc>
              <w:tc>
                <w:tcPr>
                  <w:tcW w:w="878" w:type="pct"/>
                  <w:tcBorders>
                    <w:tl2br w:val="nil"/>
                    <w:tr2bl w:val="nil"/>
                  </w:tcBorders>
                  <w:noWrap w:val="0"/>
                  <w:vAlign w:val="center"/>
                </w:tcPr>
                <w:p w14:paraId="1DBE34EA">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旋风</w:t>
                  </w:r>
                  <w:r>
                    <w:rPr>
                      <w:rFonts w:hint="eastAsia" w:cs="Times New Roman"/>
                      <w:color w:val="000000" w:themeColor="text1"/>
                      <w:szCs w:val="21"/>
                      <w:lang w:val="en-US" w:eastAsia="zh-CN"/>
                      <w14:textFill>
                        <w14:solidFill>
                          <w14:schemeClr w14:val="tx1"/>
                        </w14:solidFill>
                      </w14:textFill>
                    </w:rPr>
                    <w:t>除尘+布袋除尘</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二级沉降</w:t>
                  </w:r>
                </w:p>
              </w:tc>
              <w:tc>
                <w:tcPr>
                  <w:tcW w:w="746" w:type="pct"/>
                  <w:tcBorders>
                    <w:tl2br w:val="nil"/>
                    <w:tr2bl w:val="nil"/>
                  </w:tcBorders>
                  <w:noWrap w:val="0"/>
                  <w:vAlign w:val="center"/>
                </w:tcPr>
                <w:p w14:paraId="596FFC4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密闭车间，自然沉降</w:t>
                  </w:r>
                </w:p>
              </w:tc>
              <w:tc>
                <w:tcPr>
                  <w:tcW w:w="706" w:type="pct"/>
                  <w:tcBorders>
                    <w:tl2br w:val="nil"/>
                    <w:tr2bl w:val="nil"/>
                  </w:tcBorders>
                  <w:noWrap w:val="0"/>
                  <w:vAlign w:val="center"/>
                </w:tcPr>
                <w:p w14:paraId="056C0C33">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一体化生物滤池</w:t>
                  </w:r>
                </w:p>
              </w:tc>
              <w:tc>
                <w:tcPr>
                  <w:tcW w:w="620" w:type="pct"/>
                  <w:gridSpan w:val="2"/>
                  <w:tcBorders>
                    <w:tl2br w:val="nil"/>
                    <w:tr2bl w:val="nil"/>
                  </w:tcBorders>
                  <w:noWrap w:val="0"/>
                  <w:vAlign w:val="center"/>
                </w:tcPr>
                <w:p w14:paraId="128AFF6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45" w:type="pct"/>
                  <w:tcBorders>
                    <w:tl2br w:val="nil"/>
                    <w:tr2bl w:val="nil"/>
                  </w:tcBorders>
                  <w:noWrap w:val="0"/>
                  <w:vAlign w:val="center"/>
                </w:tcPr>
                <w:p w14:paraId="3BB9458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一体化生物滤池</w:t>
                  </w:r>
                </w:p>
              </w:tc>
              <w:tc>
                <w:tcPr>
                  <w:tcW w:w="540" w:type="pct"/>
                  <w:tcBorders>
                    <w:tl2br w:val="nil"/>
                    <w:tr2bl w:val="nil"/>
                  </w:tcBorders>
                  <w:noWrap w:val="0"/>
                  <w:vAlign w:val="center"/>
                </w:tcPr>
                <w:p w14:paraId="2A3BBF7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6E01B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655A026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5A27E9C1">
                  <w:pPr>
                    <w:adjustRightInd w:val="0"/>
                    <w:snapToGrid w:val="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收集效率%</w:t>
                  </w:r>
                </w:p>
              </w:tc>
              <w:tc>
                <w:tcPr>
                  <w:tcW w:w="878" w:type="pct"/>
                  <w:tcBorders>
                    <w:tl2br w:val="nil"/>
                    <w:tr2bl w:val="nil"/>
                  </w:tcBorders>
                  <w:noWrap w:val="0"/>
                  <w:vAlign w:val="center"/>
                </w:tcPr>
                <w:p w14:paraId="03E4DAA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90</w:t>
                  </w:r>
                </w:p>
              </w:tc>
              <w:tc>
                <w:tcPr>
                  <w:tcW w:w="746" w:type="pct"/>
                  <w:tcBorders>
                    <w:tl2br w:val="nil"/>
                    <w:tr2bl w:val="nil"/>
                  </w:tcBorders>
                  <w:noWrap w:val="0"/>
                  <w:vAlign w:val="center"/>
                </w:tcPr>
                <w:p w14:paraId="559B4FE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06" w:type="pct"/>
                  <w:tcBorders>
                    <w:tl2br w:val="nil"/>
                    <w:tr2bl w:val="nil"/>
                  </w:tcBorders>
                  <w:noWrap w:val="0"/>
                  <w:vAlign w:val="center"/>
                </w:tcPr>
                <w:p w14:paraId="5713F8D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98</w:t>
                  </w:r>
                </w:p>
              </w:tc>
              <w:tc>
                <w:tcPr>
                  <w:tcW w:w="620" w:type="pct"/>
                  <w:gridSpan w:val="2"/>
                  <w:tcBorders>
                    <w:tl2br w:val="nil"/>
                    <w:tr2bl w:val="nil"/>
                  </w:tcBorders>
                  <w:noWrap w:val="0"/>
                  <w:vAlign w:val="center"/>
                </w:tcPr>
                <w:p w14:paraId="1B957F9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45" w:type="pct"/>
                  <w:tcBorders>
                    <w:tl2br w:val="nil"/>
                    <w:tr2bl w:val="nil"/>
                  </w:tcBorders>
                  <w:noWrap w:val="0"/>
                  <w:vAlign w:val="center"/>
                </w:tcPr>
                <w:p w14:paraId="6B7444D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98</w:t>
                  </w:r>
                </w:p>
              </w:tc>
              <w:tc>
                <w:tcPr>
                  <w:tcW w:w="540" w:type="pct"/>
                  <w:tcBorders>
                    <w:tl2br w:val="nil"/>
                    <w:tr2bl w:val="nil"/>
                  </w:tcBorders>
                  <w:noWrap w:val="0"/>
                  <w:vAlign w:val="center"/>
                </w:tcPr>
                <w:p w14:paraId="6981ECC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1E0B1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399D59E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32B427A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治理工艺去除率%</w:t>
                  </w:r>
                </w:p>
              </w:tc>
              <w:tc>
                <w:tcPr>
                  <w:tcW w:w="878" w:type="pct"/>
                  <w:tcBorders>
                    <w:tl2br w:val="nil"/>
                    <w:tr2bl w:val="nil"/>
                  </w:tcBorders>
                  <w:noWrap w:val="0"/>
                  <w:vAlign w:val="center"/>
                </w:tcPr>
                <w:p w14:paraId="6411FB3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98</w:t>
                  </w:r>
                </w:p>
              </w:tc>
              <w:tc>
                <w:tcPr>
                  <w:tcW w:w="746" w:type="pct"/>
                  <w:tcBorders>
                    <w:tl2br w:val="nil"/>
                    <w:tr2bl w:val="nil"/>
                  </w:tcBorders>
                  <w:noWrap w:val="0"/>
                  <w:vAlign w:val="center"/>
                </w:tcPr>
                <w:p w14:paraId="4CFEFAC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1167" w:type="dxa"/>
                  <w:tcBorders>
                    <w:tl2br w:val="nil"/>
                    <w:tr2bl w:val="nil"/>
                  </w:tcBorders>
                  <w:noWrap w:val="0"/>
                  <w:vAlign w:val="center"/>
                </w:tcPr>
                <w:p w14:paraId="2A4EB40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1024" w:type="dxa"/>
                  <w:gridSpan w:val="2"/>
                  <w:tcBorders>
                    <w:tl2br w:val="nil"/>
                    <w:tr2bl w:val="nil"/>
                  </w:tcBorders>
                  <w:noWrap w:val="0"/>
                  <w:vAlign w:val="center"/>
                </w:tcPr>
                <w:p w14:paraId="527D153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65" w:type="dxa"/>
                  <w:tcBorders>
                    <w:tl2br w:val="nil"/>
                    <w:tr2bl w:val="nil"/>
                  </w:tcBorders>
                  <w:noWrap w:val="0"/>
                  <w:vAlign w:val="center"/>
                </w:tcPr>
                <w:p w14:paraId="3997B98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w:t>
                  </w:r>
                </w:p>
              </w:tc>
              <w:tc>
                <w:tcPr>
                  <w:tcW w:w="893" w:type="dxa"/>
                  <w:tcBorders>
                    <w:tl2br w:val="nil"/>
                    <w:tr2bl w:val="nil"/>
                  </w:tcBorders>
                  <w:noWrap w:val="0"/>
                  <w:vAlign w:val="center"/>
                </w:tcPr>
                <w:p w14:paraId="31C4A0A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15F2B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3AB547E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7AC638E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是否为可行技术</w:t>
                  </w:r>
                </w:p>
              </w:tc>
              <w:tc>
                <w:tcPr>
                  <w:tcW w:w="878" w:type="pct"/>
                  <w:tcBorders>
                    <w:tl2br w:val="nil"/>
                    <w:tr2bl w:val="nil"/>
                  </w:tcBorders>
                  <w:noWrap w:val="0"/>
                  <w:vAlign w:val="center"/>
                </w:tcPr>
                <w:p w14:paraId="590F2FB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w:t>
                  </w:r>
                </w:p>
              </w:tc>
              <w:tc>
                <w:tcPr>
                  <w:tcW w:w="746" w:type="pct"/>
                  <w:tcBorders>
                    <w:tl2br w:val="nil"/>
                    <w:tr2bl w:val="nil"/>
                  </w:tcBorders>
                  <w:noWrap w:val="0"/>
                  <w:vAlign w:val="center"/>
                </w:tcPr>
                <w:p w14:paraId="44B881A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167" w:type="dxa"/>
                  <w:tcBorders>
                    <w:tl2br w:val="nil"/>
                    <w:tr2bl w:val="nil"/>
                  </w:tcBorders>
                  <w:noWrap w:val="0"/>
                  <w:vAlign w:val="center"/>
                </w:tcPr>
                <w:p w14:paraId="0EB3F01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c>
                <w:tcPr>
                  <w:tcW w:w="1024" w:type="dxa"/>
                  <w:gridSpan w:val="2"/>
                  <w:tcBorders>
                    <w:tl2br w:val="nil"/>
                    <w:tr2bl w:val="nil"/>
                  </w:tcBorders>
                  <w:noWrap w:val="0"/>
                  <w:vAlign w:val="center"/>
                </w:tcPr>
                <w:p w14:paraId="08D0BE4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65" w:type="dxa"/>
                  <w:tcBorders>
                    <w:tl2br w:val="nil"/>
                    <w:tr2bl w:val="nil"/>
                  </w:tcBorders>
                  <w:noWrap w:val="0"/>
                  <w:vAlign w:val="center"/>
                </w:tcPr>
                <w:p w14:paraId="525BFA3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是</w:t>
                  </w:r>
                </w:p>
              </w:tc>
              <w:tc>
                <w:tcPr>
                  <w:tcW w:w="893" w:type="dxa"/>
                  <w:tcBorders>
                    <w:tl2br w:val="nil"/>
                    <w:tr2bl w:val="nil"/>
                  </w:tcBorders>
                  <w:noWrap w:val="0"/>
                  <w:vAlign w:val="center"/>
                </w:tcPr>
                <w:p w14:paraId="614ED09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652D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216E141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污染物排放浓度（mg/m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p>
              </w:tc>
              <w:tc>
                <w:tcPr>
                  <w:tcW w:w="1450" w:type="dxa"/>
                  <w:tcBorders>
                    <w:tl2br w:val="nil"/>
                    <w:tr2bl w:val="nil"/>
                  </w:tcBorders>
                  <w:noWrap w:val="0"/>
                  <w:vAlign w:val="center"/>
                </w:tcPr>
                <w:p w14:paraId="51759D9F">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12.210 </w:t>
                  </w:r>
                </w:p>
              </w:tc>
              <w:tc>
                <w:tcPr>
                  <w:tcW w:w="1233" w:type="dxa"/>
                  <w:tcBorders>
                    <w:tl2br w:val="nil"/>
                    <w:tr2bl w:val="nil"/>
                  </w:tcBorders>
                  <w:noWrap w:val="0"/>
                  <w:vAlign w:val="center"/>
                </w:tcPr>
                <w:p w14:paraId="5C203F09">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67" w:type="dxa"/>
                  <w:tcBorders>
                    <w:tl2br w:val="nil"/>
                    <w:tr2bl w:val="nil"/>
                  </w:tcBorders>
                  <w:noWrap w:val="0"/>
                  <w:vAlign w:val="center"/>
                </w:tcPr>
                <w:p w14:paraId="08746326">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12.393 </w:t>
                  </w:r>
                </w:p>
              </w:tc>
              <w:tc>
                <w:tcPr>
                  <w:tcW w:w="1024" w:type="dxa"/>
                  <w:gridSpan w:val="2"/>
                  <w:tcBorders>
                    <w:tl2br w:val="nil"/>
                    <w:tr2bl w:val="nil"/>
                  </w:tcBorders>
                  <w:noWrap w:val="0"/>
                  <w:vAlign w:val="center"/>
                </w:tcPr>
                <w:p w14:paraId="4BE68AA8">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65" w:type="dxa"/>
                  <w:tcBorders>
                    <w:tl2br w:val="nil"/>
                    <w:tr2bl w:val="nil"/>
                  </w:tcBorders>
                  <w:noWrap w:val="0"/>
                  <w:vAlign w:val="center"/>
                </w:tcPr>
                <w:p w14:paraId="1254D258">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4.957 </w:t>
                  </w:r>
                </w:p>
              </w:tc>
              <w:tc>
                <w:tcPr>
                  <w:tcW w:w="893" w:type="dxa"/>
                  <w:tcBorders>
                    <w:tl2br w:val="nil"/>
                    <w:tr2bl w:val="nil"/>
                  </w:tcBorders>
                  <w:noWrap w:val="0"/>
                  <w:vAlign w:val="center"/>
                </w:tcPr>
                <w:p w14:paraId="379B2836">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3567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501ACFA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污染物排放速率（</w:t>
                  </w:r>
                  <w:r>
                    <w:rPr>
                      <w:rFonts w:hint="eastAsia" w:cs="Times New Roman"/>
                      <w:color w:val="000000" w:themeColor="text1"/>
                      <w:szCs w:val="21"/>
                      <w:lang w:eastAsia="zh-CN"/>
                      <w14:textFill>
                        <w14:solidFill>
                          <w14:schemeClr w14:val="tx1"/>
                        </w14:solidFill>
                      </w14:textFill>
                    </w:rPr>
                    <w:t>kg</w:t>
                  </w:r>
                  <w:r>
                    <w:rPr>
                      <w:rFonts w:hint="default" w:ascii="Times New Roman" w:hAnsi="Times New Roman" w:eastAsia="宋体" w:cs="Times New Roman"/>
                      <w:color w:val="000000" w:themeColor="text1"/>
                      <w:szCs w:val="21"/>
                      <w14:textFill>
                        <w14:solidFill>
                          <w14:schemeClr w14:val="tx1"/>
                        </w14:solidFill>
                      </w14:textFill>
                    </w:rPr>
                    <w:t>/h）</w:t>
                  </w:r>
                </w:p>
              </w:tc>
              <w:tc>
                <w:tcPr>
                  <w:tcW w:w="1450" w:type="dxa"/>
                  <w:tcBorders>
                    <w:tl2br w:val="nil"/>
                    <w:tr2bl w:val="nil"/>
                  </w:tcBorders>
                  <w:noWrap w:val="0"/>
                  <w:vAlign w:val="center"/>
                </w:tcPr>
                <w:p w14:paraId="02A010FB">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0.122 </w:t>
                  </w:r>
                </w:p>
              </w:tc>
              <w:tc>
                <w:tcPr>
                  <w:tcW w:w="1233" w:type="dxa"/>
                  <w:tcBorders>
                    <w:tl2br w:val="nil"/>
                    <w:tr2bl w:val="nil"/>
                  </w:tcBorders>
                  <w:noWrap w:val="0"/>
                  <w:vAlign w:val="center"/>
                </w:tcPr>
                <w:p w14:paraId="7661A094">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0.204 </w:t>
                  </w:r>
                </w:p>
              </w:tc>
              <w:tc>
                <w:tcPr>
                  <w:tcW w:w="1167" w:type="dxa"/>
                  <w:tcBorders>
                    <w:tl2br w:val="nil"/>
                    <w:tr2bl w:val="nil"/>
                  </w:tcBorders>
                  <w:noWrap w:val="0"/>
                  <w:vAlign w:val="center"/>
                </w:tcPr>
                <w:p w14:paraId="3A7F1010">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0.248 </w:t>
                  </w:r>
                </w:p>
              </w:tc>
              <w:tc>
                <w:tcPr>
                  <w:tcW w:w="1024" w:type="dxa"/>
                  <w:gridSpan w:val="2"/>
                  <w:tcBorders>
                    <w:tl2br w:val="nil"/>
                    <w:tr2bl w:val="nil"/>
                  </w:tcBorders>
                  <w:noWrap w:val="0"/>
                  <w:vAlign w:val="center"/>
                </w:tcPr>
                <w:p w14:paraId="71BC1ECE">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0.013 </w:t>
                  </w:r>
                </w:p>
              </w:tc>
              <w:tc>
                <w:tcPr>
                  <w:tcW w:w="1065" w:type="dxa"/>
                  <w:tcBorders>
                    <w:tl2br w:val="nil"/>
                    <w:tr2bl w:val="nil"/>
                  </w:tcBorders>
                  <w:noWrap w:val="0"/>
                  <w:vAlign w:val="center"/>
                </w:tcPr>
                <w:p w14:paraId="0482AB56">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0.099 </w:t>
                  </w:r>
                </w:p>
              </w:tc>
              <w:tc>
                <w:tcPr>
                  <w:tcW w:w="893" w:type="dxa"/>
                  <w:tcBorders>
                    <w:tl2br w:val="nil"/>
                    <w:tr2bl w:val="nil"/>
                  </w:tcBorders>
                  <w:noWrap w:val="0"/>
                  <w:vAlign w:val="center"/>
                </w:tcPr>
                <w:p w14:paraId="4BFB6386">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r>
            <w:tr w14:paraId="51DD0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7E6FA36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污染物排放量（t/a）</w:t>
                  </w:r>
                </w:p>
              </w:tc>
              <w:tc>
                <w:tcPr>
                  <w:tcW w:w="1450" w:type="dxa"/>
                  <w:tcBorders>
                    <w:tl2br w:val="nil"/>
                    <w:tr2bl w:val="nil"/>
                  </w:tcBorders>
                  <w:noWrap w:val="0"/>
                  <w:vAlign w:val="center"/>
                </w:tcPr>
                <w:p w14:paraId="3F17B741">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0.147 </w:t>
                  </w:r>
                </w:p>
              </w:tc>
              <w:tc>
                <w:tcPr>
                  <w:tcW w:w="1233" w:type="dxa"/>
                  <w:tcBorders>
                    <w:tl2br w:val="nil"/>
                    <w:tr2bl w:val="nil"/>
                  </w:tcBorders>
                  <w:noWrap w:val="0"/>
                  <w:vAlign w:val="center"/>
                </w:tcPr>
                <w:p w14:paraId="0AF8F486">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0.244 </w:t>
                  </w:r>
                </w:p>
              </w:tc>
              <w:tc>
                <w:tcPr>
                  <w:tcW w:w="1167" w:type="dxa"/>
                  <w:tcBorders>
                    <w:tl2br w:val="nil"/>
                    <w:tr2bl w:val="nil"/>
                  </w:tcBorders>
                  <w:noWrap w:val="0"/>
                  <w:vAlign w:val="center"/>
                </w:tcPr>
                <w:p w14:paraId="46477A54">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1.785 </w:t>
                  </w:r>
                </w:p>
              </w:tc>
              <w:tc>
                <w:tcPr>
                  <w:tcW w:w="1024" w:type="dxa"/>
                  <w:gridSpan w:val="2"/>
                  <w:tcBorders>
                    <w:tl2br w:val="nil"/>
                    <w:tr2bl w:val="nil"/>
                  </w:tcBorders>
                  <w:noWrap w:val="0"/>
                  <w:vAlign w:val="center"/>
                </w:tcPr>
                <w:p w14:paraId="776CEBA3">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0.091 </w:t>
                  </w:r>
                </w:p>
              </w:tc>
              <w:tc>
                <w:tcPr>
                  <w:tcW w:w="1065" w:type="dxa"/>
                  <w:tcBorders>
                    <w:tl2br w:val="nil"/>
                    <w:tr2bl w:val="nil"/>
                  </w:tcBorders>
                  <w:noWrap w:val="0"/>
                  <w:vAlign w:val="center"/>
                </w:tcPr>
                <w:p w14:paraId="62490ADE">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0.714 </w:t>
                  </w:r>
                </w:p>
              </w:tc>
              <w:tc>
                <w:tcPr>
                  <w:tcW w:w="893" w:type="dxa"/>
                  <w:tcBorders>
                    <w:tl2br w:val="nil"/>
                    <w:tr2bl w:val="nil"/>
                  </w:tcBorders>
                  <w:noWrap w:val="0"/>
                  <w:vAlign w:val="center"/>
                </w:tcPr>
                <w:p w14:paraId="47AAF8E2">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r>
            <w:tr w14:paraId="33174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tcBorders>
                    <w:tl2br w:val="nil"/>
                    <w:tr2bl w:val="nil"/>
                  </w:tcBorders>
                  <w:noWrap w:val="0"/>
                  <w:vAlign w:val="center"/>
                </w:tcPr>
                <w:p w14:paraId="75BA761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排放口基本信息</w:t>
                  </w:r>
                </w:p>
              </w:tc>
              <w:tc>
                <w:tcPr>
                  <w:tcW w:w="654" w:type="pct"/>
                  <w:tcBorders>
                    <w:tl2br w:val="nil"/>
                    <w:tr2bl w:val="nil"/>
                  </w:tcBorders>
                  <w:noWrap w:val="0"/>
                  <w:vAlign w:val="center"/>
                </w:tcPr>
                <w:p w14:paraId="7CC91BF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高度（m）</w:t>
                  </w:r>
                </w:p>
              </w:tc>
              <w:tc>
                <w:tcPr>
                  <w:tcW w:w="878" w:type="pct"/>
                  <w:tcBorders>
                    <w:tl2br w:val="nil"/>
                    <w:tr2bl w:val="nil"/>
                  </w:tcBorders>
                  <w:noWrap w:val="0"/>
                  <w:vAlign w:val="center"/>
                </w:tcPr>
                <w:p w14:paraId="0068208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746" w:type="pct"/>
                  <w:tcBorders>
                    <w:tl2br w:val="nil"/>
                    <w:tr2bl w:val="nil"/>
                  </w:tcBorders>
                  <w:noWrap w:val="0"/>
                  <w:vAlign w:val="center"/>
                </w:tcPr>
                <w:p w14:paraId="3C46F9E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06" w:type="pct"/>
                  <w:tcBorders>
                    <w:tl2br w:val="nil"/>
                    <w:tr2bl w:val="nil"/>
                  </w:tcBorders>
                  <w:noWrap w:val="0"/>
                  <w:vAlign w:val="center"/>
                </w:tcPr>
                <w:p w14:paraId="2915BBD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620" w:type="pct"/>
                  <w:gridSpan w:val="2"/>
                  <w:tcBorders>
                    <w:tl2br w:val="nil"/>
                    <w:tr2bl w:val="nil"/>
                  </w:tcBorders>
                  <w:noWrap w:val="0"/>
                  <w:vAlign w:val="center"/>
                </w:tcPr>
                <w:p w14:paraId="4D001A1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645" w:type="pct"/>
                  <w:tcBorders>
                    <w:tl2br w:val="nil"/>
                    <w:tr2bl w:val="nil"/>
                  </w:tcBorders>
                  <w:noWrap w:val="0"/>
                  <w:vAlign w:val="center"/>
                </w:tcPr>
                <w:p w14:paraId="5EEF012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40" w:type="pct"/>
                  <w:tcBorders>
                    <w:tl2br w:val="nil"/>
                    <w:tr2bl w:val="nil"/>
                  </w:tcBorders>
                  <w:noWrap w:val="0"/>
                  <w:vAlign w:val="center"/>
                </w:tcPr>
                <w:p w14:paraId="5232CB1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145F8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52A777D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73B0034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排气筒内径（m）</w:t>
                  </w:r>
                </w:p>
              </w:tc>
              <w:tc>
                <w:tcPr>
                  <w:tcW w:w="878" w:type="pct"/>
                  <w:tcBorders>
                    <w:tl2br w:val="nil"/>
                    <w:tr2bl w:val="nil"/>
                  </w:tcBorders>
                  <w:noWrap w:val="0"/>
                  <w:vAlign w:val="center"/>
                </w:tcPr>
                <w:p w14:paraId="03AD276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746" w:type="pct"/>
                  <w:tcBorders>
                    <w:tl2br w:val="nil"/>
                    <w:tr2bl w:val="nil"/>
                  </w:tcBorders>
                  <w:noWrap w:val="0"/>
                  <w:vAlign w:val="center"/>
                </w:tcPr>
                <w:p w14:paraId="6BAC3EFB">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06" w:type="pct"/>
                  <w:tcBorders>
                    <w:tl2br w:val="nil"/>
                    <w:tr2bl w:val="nil"/>
                  </w:tcBorders>
                  <w:noWrap w:val="0"/>
                  <w:vAlign w:val="center"/>
                </w:tcPr>
                <w:p w14:paraId="53F76DE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20" w:type="pct"/>
                  <w:gridSpan w:val="2"/>
                  <w:tcBorders>
                    <w:tl2br w:val="nil"/>
                    <w:tr2bl w:val="nil"/>
                  </w:tcBorders>
                  <w:noWrap w:val="0"/>
                  <w:vAlign w:val="center"/>
                </w:tcPr>
                <w:p w14:paraId="4BE6E30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645" w:type="pct"/>
                  <w:tcBorders>
                    <w:tl2br w:val="nil"/>
                    <w:tr2bl w:val="nil"/>
                  </w:tcBorders>
                  <w:noWrap w:val="0"/>
                  <w:vAlign w:val="center"/>
                </w:tcPr>
                <w:p w14:paraId="549D4399">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540" w:type="pct"/>
                  <w:tcBorders>
                    <w:tl2br w:val="nil"/>
                    <w:tr2bl w:val="nil"/>
                  </w:tcBorders>
                  <w:noWrap w:val="0"/>
                  <w:vAlign w:val="center"/>
                </w:tcPr>
                <w:p w14:paraId="50BB85B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6FDB7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338BCCF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2D84975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温度（℃）</w:t>
                  </w:r>
                </w:p>
              </w:tc>
              <w:tc>
                <w:tcPr>
                  <w:tcW w:w="878" w:type="pct"/>
                  <w:tcBorders>
                    <w:tl2br w:val="nil"/>
                    <w:tr2bl w:val="nil"/>
                  </w:tcBorders>
                  <w:noWrap w:val="0"/>
                  <w:vAlign w:val="center"/>
                </w:tcPr>
                <w:p w14:paraId="44711D9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常温</w:t>
                  </w:r>
                </w:p>
              </w:tc>
              <w:tc>
                <w:tcPr>
                  <w:tcW w:w="746" w:type="pct"/>
                  <w:tcBorders>
                    <w:tl2br w:val="nil"/>
                    <w:tr2bl w:val="nil"/>
                  </w:tcBorders>
                  <w:noWrap w:val="0"/>
                  <w:vAlign w:val="center"/>
                </w:tcPr>
                <w:p w14:paraId="4F08A99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06" w:type="pct"/>
                  <w:tcBorders>
                    <w:tl2br w:val="nil"/>
                    <w:tr2bl w:val="nil"/>
                  </w:tcBorders>
                  <w:noWrap w:val="0"/>
                  <w:vAlign w:val="center"/>
                </w:tcPr>
                <w:p w14:paraId="0E5E6F7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常温</w:t>
                  </w:r>
                </w:p>
              </w:tc>
              <w:tc>
                <w:tcPr>
                  <w:tcW w:w="620" w:type="pct"/>
                  <w:gridSpan w:val="2"/>
                  <w:tcBorders>
                    <w:tl2br w:val="nil"/>
                    <w:tr2bl w:val="nil"/>
                  </w:tcBorders>
                  <w:noWrap w:val="0"/>
                  <w:vAlign w:val="center"/>
                </w:tcPr>
                <w:p w14:paraId="2BFE306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645" w:type="pct"/>
                  <w:tcBorders>
                    <w:tl2br w:val="nil"/>
                    <w:tr2bl w:val="nil"/>
                  </w:tcBorders>
                  <w:noWrap w:val="0"/>
                  <w:vAlign w:val="center"/>
                </w:tcPr>
                <w:p w14:paraId="4C2AC643">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常温</w:t>
                  </w:r>
                </w:p>
              </w:tc>
              <w:tc>
                <w:tcPr>
                  <w:tcW w:w="540" w:type="pct"/>
                  <w:tcBorders>
                    <w:tl2br w:val="nil"/>
                    <w:tr2bl w:val="nil"/>
                  </w:tcBorders>
                  <w:noWrap w:val="0"/>
                  <w:vAlign w:val="center"/>
                </w:tcPr>
                <w:p w14:paraId="301771C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58654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5DC397E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2ACEACD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编号及名称</w:t>
                  </w:r>
                </w:p>
              </w:tc>
              <w:tc>
                <w:tcPr>
                  <w:tcW w:w="878" w:type="pct"/>
                  <w:tcBorders>
                    <w:tl2br w:val="nil"/>
                    <w:tr2bl w:val="nil"/>
                  </w:tcBorders>
                  <w:noWrap w:val="0"/>
                  <w:vAlign w:val="center"/>
                </w:tcPr>
                <w:p w14:paraId="7CC59E5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DA001</w:t>
                  </w:r>
                </w:p>
              </w:tc>
              <w:tc>
                <w:tcPr>
                  <w:tcW w:w="746" w:type="pct"/>
                  <w:tcBorders>
                    <w:tl2br w:val="nil"/>
                    <w:tr2bl w:val="nil"/>
                  </w:tcBorders>
                  <w:noWrap w:val="0"/>
                  <w:vAlign w:val="center"/>
                </w:tcPr>
                <w:p w14:paraId="2035187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06" w:type="pct"/>
                  <w:tcBorders>
                    <w:tl2br w:val="nil"/>
                    <w:tr2bl w:val="nil"/>
                  </w:tcBorders>
                  <w:noWrap w:val="0"/>
                  <w:vAlign w:val="center"/>
                </w:tcPr>
                <w:p w14:paraId="631C29B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DA002</w:t>
                  </w:r>
                </w:p>
              </w:tc>
              <w:tc>
                <w:tcPr>
                  <w:tcW w:w="620" w:type="pct"/>
                  <w:gridSpan w:val="2"/>
                  <w:tcBorders>
                    <w:tl2br w:val="nil"/>
                    <w:tr2bl w:val="nil"/>
                  </w:tcBorders>
                  <w:noWrap w:val="0"/>
                  <w:vAlign w:val="center"/>
                </w:tcPr>
                <w:p w14:paraId="2D266DD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645" w:type="pct"/>
                  <w:tcBorders>
                    <w:tl2br w:val="nil"/>
                    <w:tr2bl w:val="nil"/>
                  </w:tcBorders>
                  <w:noWrap w:val="0"/>
                  <w:vAlign w:val="center"/>
                </w:tcPr>
                <w:p w14:paraId="1FA9A85F">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DA002</w:t>
                  </w:r>
                </w:p>
              </w:tc>
              <w:tc>
                <w:tcPr>
                  <w:tcW w:w="540" w:type="pct"/>
                  <w:tcBorders>
                    <w:tl2br w:val="nil"/>
                    <w:tr2bl w:val="nil"/>
                  </w:tcBorders>
                  <w:noWrap w:val="0"/>
                  <w:vAlign w:val="center"/>
                </w:tcPr>
                <w:p w14:paraId="7217769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14:paraId="22FA5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gridSpan w:val="2"/>
                  <w:tcBorders>
                    <w:tl2br w:val="nil"/>
                    <w:tr2bl w:val="nil"/>
                  </w:tcBorders>
                  <w:noWrap w:val="0"/>
                  <w:vAlign w:val="center"/>
                </w:tcPr>
                <w:p w14:paraId="21AB5C4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排放标准</w:t>
                  </w:r>
                </w:p>
              </w:tc>
              <w:tc>
                <w:tcPr>
                  <w:tcW w:w="1625" w:type="pct"/>
                  <w:gridSpan w:val="2"/>
                  <w:tcBorders>
                    <w:tl2br w:val="nil"/>
                    <w:tr2bl w:val="nil"/>
                  </w:tcBorders>
                  <w:noWrap w:val="0"/>
                  <w:vAlign w:val="center"/>
                </w:tcPr>
                <w:p w14:paraId="57AC602E">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《大气污染物综合排放标准》（GB16297-1996）</w:t>
                  </w:r>
                </w:p>
              </w:tc>
              <w:tc>
                <w:tcPr>
                  <w:tcW w:w="2513" w:type="pct"/>
                  <w:gridSpan w:val="5"/>
                  <w:tcBorders>
                    <w:tl2br w:val="nil"/>
                    <w:tr2bl w:val="nil"/>
                  </w:tcBorders>
                  <w:noWrap w:val="0"/>
                  <w:vAlign w:val="center"/>
                </w:tcPr>
                <w:p w14:paraId="1A0BAA86">
                  <w:pPr>
                    <w:adjustRightInd w:val="0"/>
                    <w:snapToGrid w:val="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《恶臭污染物排放标准》（GB14554-93）</w:t>
                  </w: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66F9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tcBorders>
                    <w:tl2br w:val="nil"/>
                    <w:tr2bl w:val="nil"/>
                  </w:tcBorders>
                  <w:noWrap w:val="0"/>
                  <w:vAlign w:val="center"/>
                </w:tcPr>
                <w:p w14:paraId="17121A8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w:t>
                  </w:r>
                </w:p>
                <w:p w14:paraId="208FD83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要求</w:t>
                  </w:r>
                </w:p>
              </w:tc>
              <w:tc>
                <w:tcPr>
                  <w:tcW w:w="654" w:type="pct"/>
                  <w:tcBorders>
                    <w:tl2br w:val="nil"/>
                    <w:tr2bl w:val="nil"/>
                  </w:tcBorders>
                  <w:noWrap w:val="0"/>
                  <w:vAlign w:val="center"/>
                </w:tcPr>
                <w:p w14:paraId="4CA82D2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监测点位</w:t>
                  </w:r>
                </w:p>
              </w:tc>
              <w:tc>
                <w:tcPr>
                  <w:tcW w:w="878" w:type="pct"/>
                  <w:tcBorders>
                    <w:tl2br w:val="nil"/>
                    <w:tr2bl w:val="nil"/>
                  </w:tcBorders>
                  <w:noWrap w:val="0"/>
                  <w:vAlign w:val="center"/>
                </w:tcPr>
                <w:p w14:paraId="288D0E0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DA001出口</w:t>
                  </w:r>
                </w:p>
              </w:tc>
              <w:tc>
                <w:tcPr>
                  <w:tcW w:w="746" w:type="pct"/>
                  <w:tcBorders>
                    <w:tl2br w:val="nil"/>
                    <w:tr2bl w:val="nil"/>
                  </w:tcBorders>
                  <w:noWrap w:val="0"/>
                  <w:vAlign w:val="center"/>
                </w:tcPr>
                <w:p w14:paraId="79D933F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厂界上风向1处，下风向3处</w:t>
                  </w:r>
                </w:p>
              </w:tc>
              <w:tc>
                <w:tcPr>
                  <w:tcW w:w="706" w:type="pct"/>
                  <w:tcBorders>
                    <w:tl2br w:val="nil"/>
                    <w:tr2bl w:val="nil"/>
                  </w:tcBorders>
                  <w:noWrap w:val="0"/>
                  <w:vAlign w:val="center"/>
                </w:tcPr>
                <w:p w14:paraId="7C9C09E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DA002出口</w:t>
                  </w:r>
                </w:p>
              </w:tc>
              <w:tc>
                <w:tcPr>
                  <w:tcW w:w="556" w:type="pct"/>
                  <w:tcBorders>
                    <w:tl2br w:val="nil"/>
                    <w:tr2bl w:val="nil"/>
                  </w:tcBorders>
                  <w:noWrap w:val="0"/>
                  <w:vAlign w:val="center"/>
                </w:tcPr>
                <w:p w14:paraId="1340549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厂界上风向1处，下风向3处</w:t>
                  </w:r>
                </w:p>
              </w:tc>
              <w:tc>
                <w:tcPr>
                  <w:tcW w:w="709" w:type="pct"/>
                  <w:gridSpan w:val="2"/>
                  <w:tcBorders>
                    <w:tl2br w:val="nil"/>
                    <w:tr2bl w:val="nil"/>
                  </w:tcBorders>
                  <w:noWrap w:val="0"/>
                  <w:vAlign w:val="center"/>
                </w:tcPr>
                <w:p w14:paraId="1922FA4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DA002出口</w:t>
                  </w:r>
                </w:p>
              </w:tc>
              <w:tc>
                <w:tcPr>
                  <w:tcW w:w="540" w:type="pct"/>
                  <w:tcBorders>
                    <w:tl2br w:val="nil"/>
                    <w:tr2bl w:val="nil"/>
                  </w:tcBorders>
                  <w:noWrap w:val="0"/>
                  <w:vAlign w:val="center"/>
                </w:tcPr>
                <w:p w14:paraId="4A6DA12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厂界上风向1处，下风向3处</w:t>
                  </w:r>
                </w:p>
              </w:tc>
            </w:tr>
            <w:tr w14:paraId="27B11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 w:type="pct"/>
                  <w:vMerge w:val="continue"/>
                  <w:tcBorders>
                    <w:tl2br w:val="nil"/>
                    <w:tr2bl w:val="nil"/>
                  </w:tcBorders>
                  <w:noWrap w:val="0"/>
                  <w:vAlign w:val="center"/>
                </w:tcPr>
                <w:p w14:paraId="4EB6F97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5F52DE7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监测因子</w:t>
                  </w:r>
                </w:p>
              </w:tc>
              <w:tc>
                <w:tcPr>
                  <w:tcW w:w="1625" w:type="pct"/>
                  <w:gridSpan w:val="2"/>
                  <w:tcBorders>
                    <w:tl2br w:val="nil"/>
                    <w:tr2bl w:val="nil"/>
                  </w:tcBorders>
                  <w:noWrap w:val="0"/>
                  <w:vAlign w:val="center"/>
                </w:tcPr>
                <w:p w14:paraId="5621826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1263" w:type="pct"/>
                  <w:gridSpan w:val="2"/>
                  <w:tcBorders>
                    <w:tl2br w:val="nil"/>
                    <w:tr2bl w:val="nil"/>
                  </w:tcBorders>
                  <w:noWrap w:val="0"/>
                  <w:vAlign w:val="center"/>
                </w:tcPr>
                <w:p w14:paraId="658FA10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p>
              </w:tc>
              <w:tc>
                <w:tcPr>
                  <w:tcW w:w="1250" w:type="pct"/>
                  <w:gridSpan w:val="3"/>
                  <w:tcBorders>
                    <w:tl2br w:val="nil"/>
                    <w:tr2bl w:val="nil"/>
                  </w:tcBorders>
                  <w:noWrap w:val="0"/>
                  <w:vAlign w:val="center"/>
                </w:tcPr>
                <w:p w14:paraId="063766B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S</w:t>
                  </w:r>
                </w:p>
              </w:tc>
            </w:tr>
            <w:tr w14:paraId="6CD77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tcBorders>
                    <w:tl2br w:val="nil"/>
                    <w:tr2bl w:val="nil"/>
                  </w:tcBorders>
                  <w:noWrap w:val="0"/>
                  <w:vAlign w:val="center"/>
                </w:tcPr>
                <w:p w14:paraId="2C42EB5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654" w:type="pct"/>
                  <w:tcBorders>
                    <w:tl2br w:val="nil"/>
                    <w:tr2bl w:val="nil"/>
                  </w:tcBorders>
                  <w:noWrap w:val="0"/>
                  <w:vAlign w:val="center"/>
                </w:tcPr>
                <w:p w14:paraId="25BAA3D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监测频次</w:t>
                  </w:r>
                </w:p>
              </w:tc>
              <w:tc>
                <w:tcPr>
                  <w:tcW w:w="4138" w:type="pct"/>
                  <w:gridSpan w:val="7"/>
                  <w:tcBorders>
                    <w:tl2br w:val="nil"/>
                    <w:tr2bl w:val="nil"/>
                  </w:tcBorders>
                  <w:noWrap w:val="0"/>
                  <w:vAlign w:val="center"/>
                </w:tcPr>
                <w:p w14:paraId="54D9AE5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1次/</w:t>
                  </w:r>
                  <w:r>
                    <w:rPr>
                      <w:rFonts w:hint="default" w:ascii="Times New Roman" w:hAnsi="Times New Roman" w:cs="Times New Roman"/>
                      <w:color w:val="000000" w:themeColor="text1"/>
                      <w:szCs w:val="21"/>
                      <w:lang w:val="en-US" w:eastAsia="zh-CN"/>
                      <w14:textFill>
                        <w14:solidFill>
                          <w14:schemeClr w14:val="tx1"/>
                        </w14:solidFill>
                      </w14:textFill>
                    </w:rPr>
                    <w:t>半</w:t>
                  </w:r>
                  <w:r>
                    <w:rPr>
                      <w:rFonts w:hint="default" w:ascii="Times New Roman" w:hAnsi="Times New Roman" w:eastAsia="宋体" w:cs="Times New Roman"/>
                      <w:color w:val="000000" w:themeColor="text1"/>
                      <w:szCs w:val="21"/>
                      <w14:textFill>
                        <w14:solidFill>
                          <w14:schemeClr w14:val="tx1"/>
                        </w14:solidFill>
                      </w14:textFill>
                    </w:rPr>
                    <w:t>年</w:t>
                  </w:r>
                </w:p>
              </w:tc>
            </w:tr>
          </w:tbl>
          <w:p w14:paraId="32C47065">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续</w:t>
            </w:r>
            <w:r>
              <w:rPr>
                <w:rFonts w:hint="default" w:ascii="Times New Roman" w:hAnsi="Times New Roman" w:eastAsia="宋体" w:cs="Times New Roman"/>
                <w:b/>
                <w:color w:val="auto"/>
                <w:sz w:val="21"/>
                <w:szCs w:val="21"/>
                <w:lang w:val="en-US" w:eastAsia="zh-CN"/>
              </w:rPr>
              <w:t>表4-1  项目废气产排污情况一览表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224"/>
              <w:gridCol w:w="1518"/>
              <w:gridCol w:w="1691"/>
              <w:gridCol w:w="1691"/>
            </w:tblGrid>
            <w:tr w14:paraId="77410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1EF40C5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产污环节</w:t>
                  </w:r>
                </w:p>
              </w:tc>
              <w:tc>
                <w:tcPr>
                  <w:tcW w:w="2967" w:type="pct"/>
                  <w:gridSpan w:val="3"/>
                  <w:tcBorders>
                    <w:tl2br w:val="nil"/>
                    <w:tr2bl w:val="nil"/>
                  </w:tcBorders>
                  <w:noWrap w:val="0"/>
                  <w:vAlign w:val="center"/>
                </w:tcPr>
                <w:p w14:paraId="28882D4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val="en-US" w:eastAsia="zh-CN"/>
                    </w:rPr>
                  </w:pPr>
                  <w:r>
                    <w:rPr>
                      <w:rFonts w:hint="eastAsia" w:cs="Times New Roman"/>
                      <w:color w:val="auto"/>
                      <w:lang w:val="en-US" w:eastAsia="zh-CN"/>
                    </w:rPr>
                    <w:t>燃烧废气</w:t>
                  </w:r>
                </w:p>
              </w:tc>
            </w:tr>
            <w:tr w14:paraId="19EAE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10B2EEA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污染物种类</w:t>
                  </w:r>
                </w:p>
              </w:tc>
              <w:tc>
                <w:tcPr>
                  <w:tcW w:w="919" w:type="pct"/>
                  <w:tcBorders>
                    <w:tl2br w:val="nil"/>
                    <w:tr2bl w:val="nil"/>
                  </w:tcBorders>
                  <w:noWrap w:val="0"/>
                  <w:vAlign w:val="center"/>
                </w:tcPr>
                <w:p w14:paraId="2C41092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024" w:type="pct"/>
                  <w:tcBorders>
                    <w:tl2br w:val="nil"/>
                    <w:tr2bl w:val="nil"/>
                  </w:tcBorders>
                  <w:noWrap w:val="0"/>
                  <w:vAlign w:val="center"/>
                </w:tcPr>
                <w:p w14:paraId="67C1C9E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0"/>
                      <w:sz w:val="21"/>
                      <w:szCs w:val="21"/>
                      <w:highlight w:val="none"/>
                      <w:lang w:val="en-US" w:eastAsia="zh-CN"/>
                    </w:rPr>
                    <w:t>二氧化硫</w:t>
                  </w:r>
                </w:p>
              </w:tc>
              <w:tc>
                <w:tcPr>
                  <w:tcW w:w="1024" w:type="pct"/>
                  <w:tcBorders>
                    <w:tl2br w:val="nil"/>
                    <w:tr2bl w:val="nil"/>
                  </w:tcBorders>
                  <w:noWrap w:val="0"/>
                  <w:vAlign w:val="center"/>
                </w:tcPr>
                <w:p w14:paraId="3DEA9B3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0"/>
                      <w:sz w:val="21"/>
                      <w:szCs w:val="21"/>
                      <w:highlight w:val="none"/>
                      <w:lang w:val="en-US" w:eastAsia="zh-CN"/>
                    </w:rPr>
                    <w:t>氮氧化物</w:t>
                  </w:r>
                </w:p>
              </w:tc>
            </w:tr>
            <w:tr w14:paraId="194E6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2AC4AB1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污染物产生量（t/a）</w:t>
                  </w:r>
                </w:p>
              </w:tc>
              <w:tc>
                <w:tcPr>
                  <w:tcW w:w="1518" w:type="dxa"/>
                  <w:tcBorders>
                    <w:tl2br w:val="nil"/>
                    <w:tr2bl w:val="nil"/>
                  </w:tcBorders>
                  <w:noWrap w:val="0"/>
                  <w:vAlign w:val="center"/>
                </w:tcPr>
                <w:p w14:paraId="2FAF0E0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691" w:type="dxa"/>
                  <w:tcBorders>
                    <w:tl2br w:val="nil"/>
                    <w:tr2bl w:val="nil"/>
                  </w:tcBorders>
                  <w:noWrap w:val="0"/>
                  <w:vAlign w:val="center"/>
                </w:tcPr>
                <w:p w14:paraId="7FD38528">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691" w:type="dxa"/>
                  <w:tcBorders>
                    <w:tl2br w:val="nil"/>
                    <w:tr2bl w:val="nil"/>
                  </w:tcBorders>
                  <w:noWrap w:val="0"/>
                  <w:vAlign w:val="center"/>
                </w:tcPr>
                <w:p w14:paraId="1A7474FD">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0.021</w:t>
                  </w:r>
                </w:p>
              </w:tc>
            </w:tr>
            <w:tr w14:paraId="6990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575A30F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排放形式</w:t>
                  </w:r>
                </w:p>
              </w:tc>
              <w:tc>
                <w:tcPr>
                  <w:tcW w:w="4900" w:type="dxa"/>
                  <w:gridSpan w:val="3"/>
                  <w:tcBorders>
                    <w:tl2br w:val="nil"/>
                    <w:tr2bl w:val="nil"/>
                  </w:tcBorders>
                  <w:noWrap w:val="0"/>
                  <w:vAlign w:val="center"/>
                </w:tcPr>
                <w:p w14:paraId="7E3A8360">
                  <w:pPr>
                    <w:keepNext w:val="0"/>
                    <w:keepLines w:val="0"/>
                    <w:widowControl/>
                    <w:suppressLineNumbers w:val="0"/>
                    <w:jc w:val="center"/>
                    <w:textAlignment w:val="center"/>
                    <w:rPr>
                      <w:rFonts w:hint="default" w:ascii="Times New Roman" w:hAnsi="Times New Roman" w:eastAsia="宋体" w:cs="Times New Roman"/>
                      <w:color w:val="auto"/>
                    </w:rPr>
                  </w:pPr>
                  <w:r>
                    <w:rPr>
                      <w:rFonts w:hint="eastAsia" w:ascii="宋体" w:hAnsi="宋体" w:eastAsia="宋体" w:cs="宋体"/>
                      <w:i w:val="0"/>
                      <w:iCs w:val="0"/>
                      <w:color w:val="000000"/>
                      <w:kern w:val="0"/>
                      <w:sz w:val="21"/>
                      <w:szCs w:val="21"/>
                      <w:u w:val="none"/>
                      <w:lang w:val="en-US" w:eastAsia="zh-CN" w:bidi="ar"/>
                    </w:rPr>
                    <w:t>有组织</w:t>
                  </w:r>
                </w:p>
              </w:tc>
            </w:tr>
            <w:tr w14:paraId="1BD06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tcBorders>
                    <w:tl2br w:val="nil"/>
                    <w:tr2bl w:val="nil"/>
                  </w:tcBorders>
                  <w:noWrap w:val="0"/>
                  <w:vAlign w:val="center"/>
                </w:tcPr>
                <w:p w14:paraId="70BA783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治理设施</w:t>
                  </w:r>
                </w:p>
              </w:tc>
              <w:tc>
                <w:tcPr>
                  <w:tcW w:w="1347" w:type="pct"/>
                  <w:tcBorders>
                    <w:tl2br w:val="nil"/>
                    <w:tr2bl w:val="nil"/>
                  </w:tcBorders>
                  <w:noWrap w:val="0"/>
                  <w:vAlign w:val="center"/>
                </w:tcPr>
                <w:p w14:paraId="77D2CE6E">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处理</w:t>
                  </w:r>
                  <w:r>
                    <w:rPr>
                      <w:rFonts w:hint="eastAsia" w:ascii="Times New Roman" w:hAnsi="Times New Roman" w:cs="Times New Roman"/>
                      <w:color w:val="auto"/>
                      <w:lang w:val="en-US" w:eastAsia="zh-CN"/>
                    </w:rPr>
                    <w:t>设施</w:t>
                  </w:r>
                </w:p>
              </w:tc>
              <w:tc>
                <w:tcPr>
                  <w:tcW w:w="4900" w:type="dxa"/>
                  <w:gridSpan w:val="3"/>
                  <w:tcBorders>
                    <w:tl2br w:val="nil"/>
                    <w:tr2bl w:val="nil"/>
                  </w:tcBorders>
                  <w:noWrap w:val="0"/>
                  <w:vAlign w:val="center"/>
                </w:tcPr>
                <w:p w14:paraId="2309590B">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000000"/>
                      <w:kern w:val="0"/>
                      <w:sz w:val="21"/>
                      <w:szCs w:val="21"/>
                      <w:u w:val="none"/>
                      <w:lang w:val="en-US" w:eastAsia="zh-CN" w:bidi="ar"/>
                    </w:rPr>
                    <w:t>低氮燃烧</w:t>
                  </w:r>
                  <w:r>
                    <w:rPr>
                      <w:rStyle w:val="65"/>
                      <w:lang w:val="en-US" w:eastAsia="zh-CN" w:bidi="ar"/>
                    </w:rPr>
                    <w:t>器</w:t>
                  </w:r>
                </w:p>
              </w:tc>
            </w:tr>
            <w:tr w14:paraId="327B2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l2br w:val="nil"/>
                    <w:tr2bl w:val="nil"/>
                  </w:tcBorders>
                  <w:noWrap w:val="0"/>
                  <w:vAlign w:val="center"/>
                </w:tcPr>
                <w:p w14:paraId="02DA59D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569DFA9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收集效率</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w:t>
                  </w:r>
                </w:p>
              </w:tc>
              <w:tc>
                <w:tcPr>
                  <w:tcW w:w="4900" w:type="dxa"/>
                  <w:gridSpan w:val="3"/>
                  <w:tcBorders>
                    <w:tl2br w:val="nil"/>
                    <w:tr2bl w:val="nil"/>
                  </w:tcBorders>
                  <w:noWrap w:val="0"/>
                  <w:vAlign w:val="center"/>
                </w:tcPr>
                <w:p w14:paraId="5D589A8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EDFB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l2br w:val="nil"/>
                    <w:tr2bl w:val="nil"/>
                  </w:tcBorders>
                  <w:noWrap w:val="0"/>
                  <w:vAlign w:val="center"/>
                </w:tcPr>
                <w:p w14:paraId="241870D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3DBF3EDE">
                  <w:pPr>
                    <w:keepNext/>
                    <w:keepLines/>
                    <w:pageBreakBefore w:val="0"/>
                    <w:widowControl/>
                    <w:kinsoku/>
                    <w:wordWrap/>
                    <w:overflowPunct/>
                    <w:topLinePunct w:val="0"/>
                    <w:autoSpaceDE/>
                    <w:autoSpaceDN/>
                    <w:bidi w:val="0"/>
                    <w:adjustRightInd w:val="0"/>
                    <w:snapToGrid w:val="0"/>
                    <w:spacing w:beforeAutospacing="0" w:afterAutospacing="0" w:line="240" w:lineRule="auto"/>
                    <w:jc w:val="both"/>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治理工艺去除率</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w:t>
                  </w:r>
                </w:p>
              </w:tc>
              <w:tc>
                <w:tcPr>
                  <w:tcW w:w="1518" w:type="dxa"/>
                  <w:tcBorders>
                    <w:tl2br w:val="nil"/>
                    <w:tr2bl w:val="nil"/>
                  </w:tcBorders>
                  <w:noWrap w:val="0"/>
                  <w:vAlign w:val="center"/>
                </w:tcPr>
                <w:p w14:paraId="084BF5A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91" w:type="dxa"/>
                  <w:tcBorders>
                    <w:tl2br w:val="nil"/>
                    <w:tr2bl w:val="nil"/>
                  </w:tcBorders>
                  <w:noWrap w:val="0"/>
                  <w:vAlign w:val="center"/>
                </w:tcPr>
                <w:p w14:paraId="55475F98">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91" w:type="dxa"/>
                  <w:tcBorders>
                    <w:tl2br w:val="nil"/>
                    <w:tr2bl w:val="nil"/>
                  </w:tcBorders>
                  <w:noWrap w:val="0"/>
                  <w:vAlign w:val="center"/>
                </w:tcPr>
                <w:p w14:paraId="5A6DA65A">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3A621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continue"/>
                  <w:tcBorders>
                    <w:tl2br w:val="nil"/>
                    <w:tr2bl w:val="nil"/>
                  </w:tcBorders>
                  <w:noWrap w:val="0"/>
                  <w:vAlign w:val="center"/>
                </w:tcPr>
                <w:p w14:paraId="2018100C">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20CDBE6C">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是否为可行技术</w:t>
                  </w:r>
                </w:p>
              </w:tc>
              <w:tc>
                <w:tcPr>
                  <w:tcW w:w="4900" w:type="dxa"/>
                  <w:gridSpan w:val="3"/>
                  <w:tcBorders>
                    <w:tl2br w:val="nil"/>
                    <w:tr2bl w:val="nil"/>
                  </w:tcBorders>
                  <w:noWrap w:val="0"/>
                  <w:vAlign w:val="center"/>
                </w:tcPr>
                <w:p w14:paraId="5CBCAD6B">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000000"/>
                      <w:kern w:val="0"/>
                      <w:sz w:val="21"/>
                      <w:szCs w:val="21"/>
                      <w:u w:val="none"/>
                      <w:lang w:val="en-US" w:eastAsia="zh-CN" w:bidi="ar"/>
                    </w:rPr>
                    <w:t>是</w:t>
                  </w:r>
                </w:p>
              </w:tc>
            </w:tr>
            <w:tr w14:paraId="22887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42F41C78">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污染物排放浓度（mg/</w:t>
                  </w:r>
                  <w:r>
                    <w:rPr>
                      <w:rFonts w:hint="default" w:ascii="Times New Roman" w:hAnsi="Times New Roman" w:eastAsia="宋体" w:cs="Times New Roman"/>
                      <w:color w:val="auto"/>
                      <w:lang w:val="en-US" w:eastAsia="zh-CN"/>
                    </w:rPr>
                    <w:t>m³</w:t>
                  </w:r>
                  <w:r>
                    <w:rPr>
                      <w:rFonts w:hint="default" w:ascii="Times New Roman" w:hAnsi="Times New Roman" w:eastAsia="宋体" w:cs="Times New Roman"/>
                      <w:color w:val="auto"/>
                    </w:rPr>
                    <w:t>）</w:t>
                  </w:r>
                </w:p>
              </w:tc>
              <w:tc>
                <w:tcPr>
                  <w:tcW w:w="1518" w:type="dxa"/>
                  <w:tcBorders>
                    <w:tl2br w:val="nil"/>
                    <w:tr2bl w:val="nil"/>
                  </w:tcBorders>
                  <w:noWrap w:val="0"/>
                  <w:vAlign w:val="center"/>
                </w:tcPr>
                <w:p w14:paraId="1FB35601">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691" w:type="dxa"/>
                  <w:tcBorders>
                    <w:tl2br w:val="nil"/>
                    <w:tr2bl w:val="nil"/>
                  </w:tcBorders>
                  <w:noWrap w:val="0"/>
                  <w:vAlign w:val="center"/>
                </w:tcPr>
                <w:p w14:paraId="008D69AB">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0.067</w:t>
                  </w:r>
                </w:p>
              </w:tc>
              <w:tc>
                <w:tcPr>
                  <w:tcW w:w="1691" w:type="dxa"/>
                  <w:tcBorders>
                    <w:tl2br w:val="nil"/>
                    <w:tr2bl w:val="nil"/>
                  </w:tcBorders>
                  <w:noWrap w:val="0"/>
                  <w:vAlign w:val="center"/>
                </w:tcPr>
                <w:p w14:paraId="2B30C5C5">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0.175</w:t>
                  </w:r>
                </w:p>
              </w:tc>
            </w:tr>
            <w:tr w14:paraId="18028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16CFD30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污染物排放速率（kg/h）</w:t>
                  </w:r>
                </w:p>
              </w:tc>
              <w:tc>
                <w:tcPr>
                  <w:tcW w:w="1518" w:type="dxa"/>
                  <w:tcBorders>
                    <w:tl2br w:val="nil"/>
                    <w:tr2bl w:val="nil"/>
                  </w:tcBorders>
                  <w:noWrap w:val="0"/>
                  <w:vAlign w:val="center"/>
                </w:tcPr>
                <w:p w14:paraId="712BF52A">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691" w:type="dxa"/>
                  <w:tcBorders>
                    <w:tl2br w:val="nil"/>
                    <w:tr2bl w:val="nil"/>
                  </w:tcBorders>
                  <w:noWrap w:val="0"/>
                  <w:vAlign w:val="center"/>
                </w:tcPr>
                <w:p w14:paraId="00EF517A">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691" w:type="dxa"/>
                  <w:tcBorders>
                    <w:tl2br w:val="nil"/>
                    <w:tr2bl w:val="nil"/>
                  </w:tcBorders>
                  <w:noWrap w:val="0"/>
                  <w:vAlign w:val="center"/>
                </w:tcPr>
                <w:p w14:paraId="05D5A23D">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r>
            <w:tr w14:paraId="4DCFC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2CB2980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污染物排放量（t/a）</w:t>
                  </w:r>
                </w:p>
              </w:tc>
              <w:tc>
                <w:tcPr>
                  <w:tcW w:w="1518" w:type="dxa"/>
                  <w:tcBorders>
                    <w:tl2br w:val="nil"/>
                    <w:tr2bl w:val="nil"/>
                  </w:tcBorders>
                  <w:noWrap w:val="0"/>
                  <w:vAlign w:val="center"/>
                </w:tcPr>
                <w:p w14:paraId="4844F844">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691" w:type="dxa"/>
                  <w:tcBorders>
                    <w:tl2br w:val="nil"/>
                    <w:tr2bl w:val="nil"/>
                  </w:tcBorders>
                  <w:noWrap w:val="0"/>
                  <w:vAlign w:val="center"/>
                </w:tcPr>
                <w:p w14:paraId="30B9AA10">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691" w:type="dxa"/>
                  <w:tcBorders>
                    <w:tl2br w:val="nil"/>
                    <w:tr2bl w:val="nil"/>
                  </w:tcBorders>
                  <w:noWrap w:val="0"/>
                  <w:vAlign w:val="center"/>
                </w:tcPr>
                <w:p w14:paraId="3DFEAF72">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w:t>
                  </w:r>
                </w:p>
              </w:tc>
            </w:tr>
            <w:tr w14:paraId="47B45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tcBorders>
                    <w:tl2br w:val="nil"/>
                    <w:tr2bl w:val="nil"/>
                  </w:tcBorders>
                  <w:noWrap w:val="0"/>
                  <w:vAlign w:val="center"/>
                </w:tcPr>
                <w:p w14:paraId="01F917B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排放口基本信息</w:t>
                  </w:r>
                </w:p>
              </w:tc>
              <w:tc>
                <w:tcPr>
                  <w:tcW w:w="1347" w:type="pct"/>
                  <w:tcBorders>
                    <w:tl2br w:val="nil"/>
                    <w:tr2bl w:val="nil"/>
                  </w:tcBorders>
                  <w:noWrap w:val="0"/>
                  <w:vAlign w:val="center"/>
                </w:tcPr>
                <w:p w14:paraId="3B92604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高度（m）</w:t>
                  </w:r>
                </w:p>
              </w:tc>
              <w:tc>
                <w:tcPr>
                  <w:tcW w:w="2967" w:type="pct"/>
                  <w:gridSpan w:val="3"/>
                  <w:tcBorders>
                    <w:tl2br w:val="nil"/>
                    <w:tr2bl w:val="nil"/>
                  </w:tcBorders>
                  <w:noWrap w:val="0"/>
                  <w:vAlign w:val="center"/>
                </w:tcPr>
                <w:p w14:paraId="1C5C2C6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r>
            <w:tr w14:paraId="529AD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l2br w:val="nil"/>
                    <w:tr2bl w:val="nil"/>
                  </w:tcBorders>
                  <w:noWrap w:val="0"/>
                  <w:vAlign w:val="center"/>
                </w:tcPr>
                <w:p w14:paraId="3BCEA37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7D0A688D">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排气筒内径（m）</w:t>
                  </w:r>
                </w:p>
              </w:tc>
              <w:tc>
                <w:tcPr>
                  <w:tcW w:w="2967" w:type="pct"/>
                  <w:gridSpan w:val="3"/>
                  <w:tcBorders>
                    <w:tl2br w:val="nil"/>
                    <w:tr2bl w:val="nil"/>
                  </w:tcBorders>
                  <w:noWrap w:val="0"/>
                  <w:vAlign w:val="center"/>
                </w:tcPr>
                <w:p w14:paraId="0C4BB08B">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w:t>
                  </w:r>
                </w:p>
              </w:tc>
            </w:tr>
            <w:tr w14:paraId="0BB2A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l2br w:val="nil"/>
                    <w:tr2bl w:val="nil"/>
                  </w:tcBorders>
                  <w:noWrap w:val="0"/>
                  <w:vAlign w:val="center"/>
                </w:tcPr>
                <w:p w14:paraId="6CD8935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47F7F984">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温度（℃）</w:t>
                  </w:r>
                </w:p>
              </w:tc>
              <w:tc>
                <w:tcPr>
                  <w:tcW w:w="2967" w:type="pct"/>
                  <w:gridSpan w:val="3"/>
                  <w:tcBorders>
                    <w:tl2br w:val="nil"/>
                    <w:tr2bl w:val="nil"/>
                  </w:tcBorders>
                  <w:noWrap w:val="0"/>
                  <w:vAlign w:val="center"/>
                </w:tcPr>
                <w:p w14:paraId="4997AA1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168</w:t>
                  </w:r>
                </w:p>
              </w:tc>
            </w:tr>
            <w:tr w14:paraId="1910C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l2br w:val="nil"/>
                    <w:tr2bl w:val="nil"/>
                  </w:tcBorders>
                  <w:noWrap w:val="0"/>
                  <w:vAlign w:val="center"/>
                </w:tcPr>
                <w:p w14:paraId="79BB4756">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193ED6C3">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编号及名称</w:t>
                  </w:r>
                </w:p>
              </w:tc>
              <w:tc>
                <w:tcPr>
                  <w:tcW w:w="2967" w:type="pct"/>
                  <w:gridSpan w:val="3"/>
                  <w:tcBorders>
                    <w:tl2br w:val="nil"/>
                    <w:tr2bl w:val="nil"/>
                  </w:tcBorders>
                  <w:noWrap w:val="0"/>
                  <w:vAlign w:val="center"/>
                </w:tcPr>
                <w:p w14:paraId="0E2DDA87">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DA00</w:t>
                  </w:r>
                  <w:r>
                    <w:rPr>
                      <w:rFonts w:hint="eastAsia" w:cs="Times New Roman"/>
                      <w:color w:val="auto"/>
                      <w:lang w:val="en-US" w:eastAsia="zh-CN"/>
                    </w:rPr>
                    <w:t>3</w:t>
                  </w:r>
                </w:p>
              </w:tc>
            </w:tr>
            <w:tr w14:paraId="715CB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pct"/>
                  <w:gridSpan w:val="2"/>
                  <w:tcBorders>
                    <w:tl2br w:val="nil"/>
                    <w:tr2bl w:val="nil"/>
                  </w:tcBorders>
                  <w:noWrap w:val="0"/>
                  <w:vAlign w:val="center"/>
                </w:tcPr>
                <w:p w14:paraId="5E3CA48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排放标准</w:t>
                  </w:r>
                </w:p>
              </w:tc>
              <w:tc>
                <w:tcPr>
                  <w:tcW w:w="2967" w:type="pct"/>
                  <w:gridSpan w:val="3"/>
                  <w:tcBorders>
                    <w:tl2br w:val="nil"/>
                    <w:tr2bl w:val="nil"/>
                  </w:tcBorders>
                  <w:noWrap w:val="0"/>
                  <w:vAlign w:val="center"/>
                </w:tcPr>
                <w:p w14:paraId="0D474AEA">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《锅炉大气污染物排放标准》（DB61/1226-2018）</w:t>
                  </w:r>
                </w:p>
              </w:tc>
            </w:tr>
            <w:tr w14:paraId="31382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tcBorders>
                    <w:tl2br w:val="nil"/>
                    <w:tr2bl w:val="nil"/>
                  </w:tcBorders>
                  <w:noWrap w:val="0"/>
                  <w:vAlign w:val="center"/>
                </w:tcPr>
                <w:p w14:paraId="792B6992">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监测要求</w:t>
                  </w:r>
                </w:p>
              </w:tc>
              <w:tc>
                <w:tcPr>
                  <w:tcW w:w="1347" w:type="pct"/>
                  <w:tcBorders>
                    <w:tl2br w:val="nil"/>
                    <w:tr2bl w:val="nil"/>
                  </w:tcBorders>
                  <w:noWrap w:val="0"/>
                  <w:vAlign w:val="center"/>
                </w:tcPr>
                <w:p w14:paraId="6D1440C0">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2967" w:type="pct"/>
                  <w:gridSpan w:val="3"/>
                  <w:tcBorders>
                    <w:tl2br w:val="nil"/>
                    <w:tr2bl w:val="nil"/>
                  </w:tcBorders>
                  <w:noWrap w:val="0"/>
                  <w:vAlign w:val="center"/>
                </w:tcPr>
                <w:p w14:paraId="7F4035F5">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DA00</w:t>
                  </w:r>
                  <w:r>
                    <w:rPr>
                      <w:rFonts w:hint="eastAsia" w:cs="Times New Roman"/>
                      <w:color w:val="auto"/>
                      <w:lang w:val="en-US" w:eastAsia="zh-CN"/>
                    </w:rPr>
                    <w:t>3</w:t>
                  </w:r>
                  <w:r>
                    <w:rPr>
                      <w:rFonts w:hint="default" w:ascii="Times New Roman" w:hAnsi="Times New Roman" w:eastAsia="宋体" w:cs="Times New Roman"/>
                      <w:color w:val="auto"/>
                    </w:rPr>
                    <w:t>出口</w:t>
                  </w:r>
                </w:p>
              </w:tc>
            </w:tr>
            <w:tr w14:paraId="6BF90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tcBorders>
                    <w:tl2br w:val="nil"/>
                    <w:tr2bl w:val="nil"/>
                  </w:tcBorders>
                  <w:noWrap w:val="0"/>
                  <w:vAlign w:val="center"/>
                </w:tcPr>
                <w:p w14:paraId="20CB29E1">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监测要求</w:t>
                  </w:r>
                </w:p>
              </w:tc>
              <w:tc>
                <w:tcPr>
                  <w:tcW w:w="1347" w:type="pct"/>
                  <w:tcBorders>
                    <w:tl2br w:val="nil"/>
                    <w:tr2bl w:val="nil"/>
                  </w:tcBorders>
                  <w:noWrap w:val="0"/>
                  <w:vAlign w:val="center"/>
                </w:tcPr>
                <w:p w14:paraId="0FDB7043">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监测因子</w:t>
                  </w:r>
                </w:p>
              </w:tc>
              <w:tc>
                <w:tcPr>
                  <w:tcW w:w="919" w:type="pct"/>
                  <w:tcBorders>
                    <w:tl2br w:val="nil"/>
                    <w:tr2bl w:val="nil"/>
                  </w:tcBorders>
                  <w:noWrap w:val="0"/>
                  <w:vAlign w:val="center"/>
                </w:tcPr>
                <w:p w14:paraId="32B7F96F">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691" w:type="dxa"/>
                  <w:tcBorders>
                    <w:tl2br w:val="nil"/>
                    <w:tr2bl w:val="nil"/>
                  </w:tcBorders>
                  <w:noWrap w:val="0"/>
                  <w:vAlign w:val="center"/>
                </w:tcPr>
                <w:p w14:paraId="52E7733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rPr>
                  </w:pPr>
                  <w:r>
                    <w:rPr>
                      <w:rFonts w:hint="eastAsia" w:ascii="Times New Roman" w:hAnsi="Times New Roman" w:cs="Times New Roman"/>
                      <w:color w:val="auto"/>
                      <w:kern w:val="0"/>
                      <w:sz w:val="21"/>
                      <w:szCs w:val="21"/>
                      <w:highlight w:val="none"/>
                      <w:lang w:val="en-US" w:eastAsia="zh-CN"/>
                    </w:rPr>
                    <w:t>二氧化硫</w:t>
                  </w:r>
                </w:p>
              </w:tc>
              <w:tc>
                <w:tcPr>
                  <w:tcW w:w="1691" w:type="dxa"/>
                  <w:tcBorders>
                    <w:tl2br w:val="nil"/>
                    <w:tr2bl w:val="nil"/>
                  </w:tcBorders>
                  <w:noWrap w:val="0"/>
                  <w:vAlign w:val="center"/>
                </w:tcPr>
                <w:p w14:paraId="7190F9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rPr>
                  </w:pPr>
                  <w:r>
                    <w:rPr>
                      <w:rFonts w:hint="eastAsia" w:ascii="Times New Roman" w:hAnsi="Times New Roman" w:cs="Times New Roman"/>
                      <w:color w:val="auto"/>
                      <w:kern w:val="0"/>
                      <w:sz w:val="21"/>
                      <w:szCs w:val="21"/>
                      <w:highlight w:val="none"/>
                      <w:lang w:val="en-US" w:eastAsia="zh-CN"/>
                    </w:rPr>
                    <w:t>氮氧化物</w:t>
                  </w:r>
                </w:p>
              </w:tc>
            </w:tr>
            <w:tr w14:paraId="65F83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tcBorders>
                    <w:tl2br w:val="nil"/>
                    <w:tr2bl w:val="nil"/>
                  </w:tcBorders>
                  <w:noWrap w:val="0"/>
                  <w:vAlign w:val="center"/>
                </w:tcPr>
                <w:p w14:paraId="1516D40C">
                  <w:pPr>
                    <w:keepNext/>
                    <w:keepLines/>
                    <w:pageBreakBefore w:val="0"/>
                    <w:widowControl/>
                    <w:kinsoku/>
                    <w:wordWrap/>
                    <w:overflowPunct/>
                    <w:topLinePunct w:val="0"/>
                    <w:autoSpaceDE/>
                    <w:autoSpaceDN/>
                    <w:bidi w:val="0"/>
                    <w:adjustRightInd w:val="0"/>
                    <w:snapToGrid w:val="0"/>
                    <w:spacing w:beforeAutospacing="0" w:afterAutospacing="0" w:line="240" w:lineRule="auto"/>
                    <w:jc w:val="left"/>
                    <w:textAlignment w:val="auto"/>
                    <w:outlineLvl w:val="9"/>
                    <w:rPr>
                      <w:rFonts w:hint="default" w:ascii="Times New Roman" w:hAnsi="Times New Roman" w:eastAsia="宋体" w:cs="Times New Roman"/>
                      <w:color w:val="auto"/>
                    </w:rPr>
                  </w:pPr>
                </w:p>
              </w:tc>
              <w:tc>
                <w:tcPr>
                  <w:tcW w:w="1347" w:type="pct"/>
                  <w:tcBorders>
                    <w:tl2br w:val="nil"/>
                    <w:tr2bl w:val="nil"/>
                  </w:tcBorders>
                  <w:noWrap w:val="0"/>
                  <w:vAlign w:val="center"/>
                </w:tcPr>
                <w:p w14:paraId="784E7F09">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监测频次</w:t>
                  </w:r>
                </w:p>
              </w:tc>
              <w:tc>
                <w:tcPr>
                  <w:tcW w:w="2967" w:type="pct"/>
                  <w:gridSpan w:val="3"/>
                  <w:tcBorders>
                    <w:tl2br w:val="nil"/>
                    <w:tr2bl w:val="nil"/>
                  </w:tcBorders>
                  <w:noWrap w:val="0"/>
                  <w:vAlign w:val="center"/>
                </w:tcPr>
                <w:p w14:paraId="79AB8F4F">
                  <w:pPr>
                    <w:keepNext/>
                    <w:keepLines/>
                    <w:pageBreakBefore w:val="0"/>
                    <w:widowControl/>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1次/</w:t>
                  </w:r>
                  <w:r>
                    <w:rPr>
                      <w:rFonts w:hint="default" w:ascii="Times New Roman" w:hAnsi="Times New Roman" w:eastAsia="宋体" w:cs="Times New Roman"/>
                      <w:color w:val="auto"/>
                      <w:lang w:val="en-US" w:eastAsia="zh-CN"/>
                    </w:rPr>
                    <w:t>月</w:t>
                  </w:r>
                  <w:r>
                    <w:rPr>
                      <w:rFonts w:hint="eastAsia" w:cs="Times New Roman"/>
                      <w:color w:val="auto"/>
                      <w:lang w:val="en-US" w:eastAsia="zh-CN"/>
                    </w:rPr>
                    <w:t>（</w:t>
                  </w:r>
                  <w:r>
                    <w:rPr>
                      <w:rFonts w:hint="eastAsia" w:ascii="Times New Roman" w:hAnsi="Times New Roman" w:cs="Times New Roman"/>
                      <w:color w:val="auto"/>
                      <w:kern w:val="0"/>
                      <w:sz w:val="21"/>
                      <w:szCs w:val="21"/>
                      <w:highlight w:val="none"/>
                      <w:lang w:val="en-US" w:eastAsia="zh-CN"/>
                    </w:rPr>
                    <w:t>氮氧化物</w:t>
                  </w:r>
                  <w:r>
                    <w:rPr>
                      <w:rFonts w:hint="eastAsia" w:cs="Times New Roman"/>
                      <w:color w:val="auto"/>
                      <w:lang w:val="en-US" w:eastAsia="zh-CN"/>
                    </w:rPr>
                    <w:t>）</w:t>
                  </w:r>
                </w:p>
              </w:tc>
            </w:tr>
          </w:tbl>
          <w:p w14:paraId="6BD2E005">
            <w:pPr>
              <w:spacing w:line="360" w:lineRule="auto"/>
              <w:ind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（2）污染源源强核算过程</w:t>
            </w:r>
          </w:p>
          <w:p w14:paraId="4223BFA6">
            <w:pPr>
              <w:spacing w:line="360" w:lineRule="auto"/>
              <w:ind w:firstLine="468" w:firstLineChars="200"/>
              <w:jc w:val="left"/>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lang w:val="en-US" w:eastAsia="zh-CN"/>
                <w14:textFill>
                  <w14:solidFill>
                    <w14:schemeClr w14:val="tx1"/>
                  </w14:solidFill>
                </w14:textFill>
              </w:rPr>
              <w:t>1</w:t>
            </w:r>
            <w:r>
              <w:rPr>
                <w:rFonts w:hint="default" w:ascii="Times New Roman" w:hAnsi="Times New Roman" w:cs="Times New Roman"/>
                <w:color w:val="000000" w:themeColor="text1"/>
                <w:spacing w:val="-3"/>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粉尘</w:t>
            </w:r>
          </w:p>
          <w:p w14:paraId="6E3B21E8">
            <w:pPr>
              <w:spacing w:line="360" w:lineRule="auto"/>
              <w:ind w:firstLine="468" w:firstLineChars="200"/>
              <w:jc w:val="left"/>
              <w:rPr>
                <w:rFonts w:hint="default" w:ascii="Times New Roman" w:hAnsi="Times New Roman"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本项目制作有机肥的过程中，其破碎、粉碎、搅拌、筛分、造粒过程中会有粉尘产生。</w:t>
            </w:r>
            <w:r>
              <w:rPr>
                <w:rFonts w:hint="default" w:ascii="Times New Roman" w:hAnsi="Times New Roman" w:eastAsia="宋体" w:cs="Times New Roman"/>
                <w:color w:val="auto"/>
                <w:kern w:val="2"/>
                <w:sz w:val="24"/>
                <w:szCs w:val="24"/>
                <w:lang w:val="en-US" w:eastAsia="zh-CN" w:bidi="ar"/>
              </w:rPr>
              <w:t>根据企业提供资料，本项目物料含水率较高，湿度较大，</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依据《排放源统计调查产排污核算方法和系数手册》</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中</w:t>
            </w:r>
            <w:r>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t>2625 有机肥料及微生物肥料制造行业系数手册，有机肥前处理、后处理工段，混配/混配造粒工艺过程</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中</w:t>
            </w:r>
            <w:r>
              <w:rPr>
                <w:rFonts w:hint="default" w:ascii="Times New Roman" w:hAnsi="Times New Roman" w:cs="Times New Roman"/>
                <w:color w:val="000000" w:themeColor="text1"/>
                <w:spacing w:val="0"/>
                <w:sz w:val="24"/>
                <w:szCs w:val="24"/>
                <w14:textFill>
                  <w14:solidFill>
                    <w14:schemeClr w14:val="tx1"/>
                  </w14:solidFill>
                </w14:textFill>
              </w:rPr>
              <w:t>粉尘的产污系数为</w:t>
            </w:r>
            <w:r>
              <w:rPr>
                <w:rFonts w:hint="default" w:ascii="Times New Roman" w:hAnsi="Times New Roman" w:eastAsia="Times New Roman" w:cs="Times New Roman"/>
                <w:color w:val="000000" w:themeColor="text1"/>
                <w:spacing w:val="0"/>
                <w:sz w:val="24"/>
                <w:szCs w:val="24"/>
                <w14:textFill>
                  <w14:solidFill>
                    <w14:schemeClr w14:val="tx1"/>
                  </w14:solidFill>
                </w14:textFill>
              </w:rPr>
              <w:t>0.</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37</w:t>
            </w:r>
            <w:r>
              <w:rPr>
                <w:rFonts w:hint="eastAsia" w:eastAsia="宋体" w:cs="Times New Roman"/>
                <w:color w:val="000000" w:themeColor="text1"/>
                <w:spacing w:val="0"/>
                <w:sz w:val="24"/>
                <w:szCs w:val="24"/>
                <w:lang w:eastAsia="zh-CN"/>
                <w14:textFill>
                  <w14:solidFill>
                    <w14:schemeClr w14:val="tx1"/>
                  </w14:solidFill>
                </w14:textFill>
              </w:rPr>
              <w:t>kg</w:t>
            </w:r>
            <w:r>
              <w:rPr>
                <w:rFonts w:hint="default" w:ascii="Times New Roman" w:hAnsi="Times New Roman" w:eastAsia="Times New Roman" w:cs="Times New Roman"/>
                <w:color w:val="000000" w:themeColor="text1"/>
                <w:spacing w:val="0"/>
                <w:sz w:val="24"/>
                <w:szCs w:val="24"/>
                <w14:textFill>
                  <w14:solidFill>
                    <w14:schemeClr w14:val="tx1"/>
                  </w14:solidFill>
                </w14:textFill>
              </w:rPr>
              <w:t>/t</w:t>
            </w:r>
            <w:r>
              <w:rPr>
                <w:rFonts w:hint="eastAsia" w:eastAsia="宋体" w:cs="Times New Roman"/>
                <w:color w:val="000000" w:themeColor="text1"/>
                <w:spacing w:val="0"/>
                <w:sz w:val="24"/>
                <w:szCs w:val="24"/>
                <w:lang w:eastAsia="zh-CN"/>
                <w14:textFill>
                  <w14:solidFill>
                    <w14:schemeClr w14:val="tx1"/>
                  </w14:solidFill>
                </w14:textFill>
              </w:rPr>
              <w:t>－</w:t>
            </w:r>
            <w:r>
              <w:rPr>
                <w:rFonts w:hint="default" w:ascii="Times New Roman" w:hAnsi="Times New Roman" w:cs="Times New Roman"/>
                <w:color w:val="000000" w:themeColor="text1"/>
                <w:spacing w:val="0"/>
                <w:sz w:val="24"/>
                <w:szCs w:val="24"/>
                <w14:textFill>
                  <w14:solidFill>
                    <w14:schemeClr w14:val="tx1"/>
                  </w14:solidFill>
                </w14:textFill>
              </w:rPr>
              <w:t>产品，本项目</w:t>
            </w:r>
            <w:r>
              <w:rPr>
                <w:rFonts w:hint="default" w:ascii="Times New Roman" w:hAnsi="Times New Roman" w:cs="Times New Roman"/>
                <w:color w:val="000000" w:themeColor="text1"/>
                <w:spacing w:val="0"/>
                <w:sz w:val="24"/>
                <w:szCs w:val="24"/>
                <w:lang w:val="en-US" w:eastAsia="zh-CN"/>
                <w14:textFill>
                  <w14:solidFill>
                    <w14:schemeClr w14:val="tx1"/>
                  </w14:solidFill>
                </w14:textFill>
              </w:rPr>
              <w:t>产品</w:t>
            </w:r>
            <w:r>
              <w:rPr>
                <w:rFonts w:hint="default" w:ascii="Times New Roman" w:hAnsi="Times New Roman" w:cs="Times New Roman"/>
                <w:color w:val="000000" w:themeColor="text1"/>
                <w:spacing w:val="0"/>
                <w:sz w:val="24"/>
                <w:szCs w:val="24"/>
                <w14:textFill>
                  <w14:solidFill>
                    <w14:schemeClr w14:val="tx1"/>
                  </w14:solidFill>
                </w14:textFill>
              </w:rPr>
              <w:t>产量为</w:t>
            </w:r>
            <w:r>
              <w:rPr>
                <w:rFonts w:hint="eastAsia" w:cs="Times New Roman"/>
                <w:color w:val="000000" w:themeColor="text1"/>
                <w:spacing w:val="0"/>
                <w:sz w:val="24"/>
                <w:szCs w:val="24"/>
                <w:lang w:val="en-US" w:eastAsia="zh-CN"/>
                <w14:textFill>
                  <w14:solidFill>
                    <w14:schemeClr w14:val="tx1"/>
                  </w14:solidFill>
                </w14:textFill>
              </w:rPr>
              <w:t>22000</w:t>
            </w:r>
            <w:r>
              <w:rPr>
                <w:rFonts w:hint="default" w:ascii="Times New Roman" w:hAnsi="Times New Roman" w:cs="Times New Roman"/>
                <w:color w:val="000000" w:themeColor="text1"/>
                <w:spacing w:val="0"/>
                <w:sz w:val="24"/>
                <w:szCs w:val="24"/>
                <w14:textFill>
                  <w14:solidFill>
                    <w14:schemeClr w14:val="tx1"/>
                  </w14:solidFill>
                </w14:textFill>
              </w:rPr>
              <w:t>t</w:t>
            </w:r>
            <w:r>
              <w:rPr>
                <w:rFonts w:hint="default" w:ascii="Times New Roman" w:hAnsi="Times New Roman" w:eastAsia="Times New Roman" w:cs="Times New Roman"/>
                <w:color w:val="000000" w:themeColor="text1"/>
                <w:spacing w:val="0"/>
                <w:sz w:val="24"/>
                <w:szCs w:val="24"/>
                <w14:textFill>
                  <w14:solidFill>
                    <w14:schemeClr w14:val="tx1"/>
                  </w14:solidFill>
                </w14:textFill>
              </w:rPr>
              <w:t>/a</w:t>
            </w:r>
            <w:r>
              <w:rPr>
                <w:rFonts w:hint="default" w:ascii="Times New Roman" w:hAnsi="Times New Roman" w:cs="Times New Roman"/>
                <w:color w:val="000000" w:themeColor="text1"/>
                <w:spacing w:val="0"/>
                <w:sz w:val="24"/>
                <w:szCs w:val="24"/>
                <w14:textFill>
                  <w14:solidFill>
                    <w14:schemeClr w14:val="tx1"/>
                  </w14:solidFill>
                </w14:textFill>
              </w:rPr>
              <w:t>，则本项目</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混料、粉碎、造粒、筛分、烘干和冷却工序粉尘</w:t>
            </w:r>
            <w:r>
              <w:rPr>
                <w:rFonts w:hint="default" w:ascii="Times New Roman" w:hAnsi="Times New Roman" w:cs="Times New Roman"/>
                <w:color w:val="000000" w:themeColor="text1"/>
                <w:spacing w:val="0"/>
                <w:sz w:val="24"/>
                <w:szCs w:val="24"/>
                <w14:textFill>
                  <w14:solidFill>
                    <w14:schemeClr w14:val="tx1"/>
                  </w14:solidFill>
                </w14:textFill>
              </w:rPr>
              <w:t>产生量为</w:t>
            </w:r>
            <w:r>
              <w:rPr>
                <w:rFonts w:hint="eastAsia" w:cs="Times New Roman"/>
                <w:color w:val="000000" w:themeColor="text1"/>
                <w:spacing w:val="0"/>
                <w:sz w:val="24"/>
                <w:szCs w:val="24"/>
                <w:lang w:val="en-US" w:eastAsia="zh-CN"/>
                <w14:textFill>
                  <w14:solidFill>
                    <w14:schemeClr w14:val="tx1"/>
                  </w14:solidFill>
                </w14:textFill>
              </w:rPr>
              <w:t>8.14</w:t>
            </w:r>
            <w:r>
              <w:rPr>
                <w:rFonts w:hint="default" w:ascii="Times New Roman" w:hAnsi="Times New Roman" w:eastAsia="Times New Roman" w:cs="Times New Roman"/>
                <w:color w:val="000000" w:themeColor="text1"/>
                <w:spacing w:val="0"/>
                <w:sz w:val="24"/>
                <w:szCs w:val="24"/>
                <w14:textFill>
                  <w14:solidFill>
                    <w14:schemeClr w14:val="tx1"/>
                  </w14:solidFill>
                </w14:textFill>
              </w:rPr>
              <w:t>t/a</w:t>
            </w:r>
            <w:r>
              <w:rPr>
                <w:rFonts w:hint="default" w:ascii="Times New Roman" w:hAnsi="Times New Roman" w:cs="Times New Roman"/>
                <w:color w:val="000000" w:themeColor="text1"/>
                <w:spacing w:val="0"/>
                <w:sz w:val="24"/>
                <w:szCs w:val="24"/>
                <w14:textFill>
                  <w14:solidFill>
                    <w14:schemeClr w14:val="tx1"/>
                  </w14:solidFill>
                </w14:textFill>
              </w:rPr>
              <w:t>。</w:t>
            </w:r>
          </w:p>
          <w:p w14:paraId="5FC0C8CA">
            <w:pPr>
              <w:adjustRightInd w:val="0"/>
              <w:snapToGrid w:val="0"/>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表4-</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lang w:val="en-US" w:eastAsia="zh-CN"/>
                <w14:textFill>
                  <w14:solidFill>
                    <w14:schemeClr w14:val="tx1"/>
                  </w14:solidFill>
                </w14:textFill>
              </w:rPr>
              <w:t xml:space="preserve"> 产污系数一览表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97"/>
              <w:gridCol w:w="966"/>
              <w:gridCol w:w="623"/>
              <w:gridCol w:w="545"/>
              <w:gridCol w:w="580"/>
              <w:gridCol w:w="613"/>
              <w:gridCol w:w="600"/>
              <w:gridCol w:w="775"/>
              <w:gridCol w:w="613"/>
              <w:gridCol w:w="1231"/>
            </w:tblGrid>
            <w:tr w14:paraId="57A8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3C7FEEF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工段名称</w:t>
                  </w:r>
                </w:p>
              </w:tc>
              <w:tc>
                <w:tcPr>
                  <w:tcW w:w="542" w:type="pct"/>
                  <w:noWrap w:val="0"/>
                  <w:vAlign w:val="center"/>
                </w:tcPr>
                <w:p w14:paraId="063DD29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产品名称</w:t>
                  </w:r>
                </w:p>
              </w:tc>
              <w:tc>
                <w:tcPr>
                  <w:tcW w:w="583" w:type="pct"/>
                  <w:noWrap w:val="0"/>
                  <w:vAlign w:val="center"/>
                </w:tcPr>
                <w:p w14:paraId="5F8F79F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原料名称</w:t>
                  </w:r>
                </w:p>
              </w:tc>
              <w:tc>
                <w:tcPr>
                  <w:tcW w:w="376" w:type="pct"/>
                  <w:noWrap w:val="0"/>
                  <w:vAlign w:val="center"/>
                </w:tcPr>
                <w:p w14:paraId="410F967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工艺名称</w:t>
                  </w:r>
                </w:p>
              </w:tc>
              <w:tc>
                <w:tcPr>
                  <w:tcW w:w="329" w:type="pct"/>
                  <w:noWrap w:val="0"/>
                  <w:vAlign w:val="center"/>
                </w:tcPr>
                <w:p w14:paraId="5C27D5E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规模等级</w:t>
                  </w:r>
                </w:p>
              </w:tc>
              <w:tc>
                <w:tcPr>
                  <w:tcW w:w="350" w:type="pct"/>
                  <w:noWrap w:val="0"/>
                  <w:vAlign w:val="center"/>
                </w:tcPr>
                <w:p w14:paraId="127E31F1">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污染物类别</w:t>
                  </w:r>
                </w:p>
              </w:tc>
              <w:tc>
                <w:tcPr>
                  <w:tcW w:w="370" w:type="pct"/>
                  <w:noWrap w:val="0"/>
                  <w:vAlign w:val="center"/>
                </w:tcPr>
                <w:p w14:paraId="1608B37B">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污染物指标项</w:t>
                  </w:r>
                </w:p>
              </w:tc>
              <w:tc>
                <w:tcPr>
                  <w:tcW w:w="362" w:type="pct"/>
                  <w:noWrap w:val="0"/>
                  <w:vAlign w:val="center"/>
                </w:tcPr>
                <w:p w14:paraId="04817BFD">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单位</w:t>
                  </w:r>
                </w:p>
              </w:tc>
              <w:tc>
                <w:tcPr>
                  <w:tcW w:w="468" w:type="pct"/>
                  <w:noWrap w:val="0"/>
                  <w:vAlign w:val="center"/>
                </w:tcPr>
                <w:p w14:paraId="69951309">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产污系数</w:t>
                  </w:r>
                </w:p>
              </w:tc>
              <w:tc>
                <w:tcPr>
                  <w:tcW w:w="370" w:type="pct"/>
                  <w:noWrap w:val="0"/>
                  <w:vAlign w:val="center"/>
                </w:tcPr>
                <w:p w14:paraId="0103691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末端治理技术</w:t>
                  </w:r>
                </w:p>
              </w:tc>
              <w:tc>
                <w:tcPr>
                  <w:tcW w:w="743" w:type="pct"/>
                  <w:noWrap w:val="0"/>
                  <w:vAlign w:val="center"/>
                </w:tcPr>
                <w:p w14:paraId="0343EA4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末端治理技术平均去除效率（</w:t>
                  </w:r>
                  <w:r>
                    <w:rPr>
                      <w:rFonts w:hint="default" w:ascii="Times New Roman" w:hAnsi="Times New Roman" w:eastAsia="TimesNewRomanPS-BoldMT" w:cs="Times New Roman"/>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p>
              </w:tc>
            </w:tr>
            <w:tr w14:paraId="16B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75C3E8C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前处理、后处理</w:t>
                  </w:r>
                </w:p>
              </w:tc>
              <w:tc>
                <w:tcPr>
                  <w:tcW w:w="542" w:type="pct"/>
                  <w:noWrap w:val="0"/>
                  <w:vAlign w:val="center"/>
                </w:tcPr>
                <w:p w14:paraId="2457353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有机肥、生物有机肥</w:t>
                  </w:r>
                </w:p>
              </w:tc>
              <w:tc>
                <w:tcPr>
                  <w:tcW w:w="583" w:type="pct"/>
                  <w:noWrap w:val="0"/>
                  <w:vAlign w:val="center"/>
                </w:tcPr>
                <w:p w14:paraId="4A3EB9C1">
                  <w:pPr>
                    <w:pStyle w:val="8"/>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农业废弃物、加工副产品</w:t>
                  </w:r>
                </w:p>
              </w:tc>
              <w:tc>
                <w:tcPr>
                  <w:tcW w:w="376" w:type="pct"/>
                  <w:noWrap w:val="0"/>
                  <w:vAlign w:val="center"/>
                </w:tcPr>
                <w:p w14:paraId="7FC671A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混配/混配造粒</w:t>
                  </w:r>
                </w:p>
              </w:tc>
              <w:tc>
                <w:tcPr>
                  <w:tcW w:w="329" w:type="pct"/>
                  <w:noWrap w:val="0"/>
                  <w:vAlign w:val="center"/>
                </w:tcPr>
                <w:p w14:paraId="65E026C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所有规模</w:t>
                  </w:r>
                </w:p>
              </w:tc>
              <w:tc>
                <w:tcPr>
                  <w:tcW w:w="350" w:type="pct"/>
                  <w:noWrap w:val="0"/>
                  <w:vAlign w:val="center"/>
                </w:tcPr>
                <w:p w14:paraId="50B6F694">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废气</w:t>
                  </w:r>
                </w:p>
              </w:tc>
              <w:tc>
                <w:tcPr>
                  <w:tcW w:w="370" w:type="pct"/>
                  <w:noWrap w:val="0"/>
                  <w:vAlign w:val="center"/>
                </w:tcPr>
                <w:p w14:paraId="33CF994C">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颗粒物</w:t>
                  </w:r>
                </w:p>
              </w:tc>
              <w:tc>
                <w:tcPr>
                  <w:tcW w:w="362" w:type="pct"/>
                  <w:noWrap w:val="0"/>
                  <w:vAlign w:val="center"/>
                </w:tcPr>
                <w:p w14:paraId="2D947853">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千克/吨-产品</w:t>
                  </w:r>
                </w:p>
              </w:tc>
              <w:tc>
                <w:tcPr>
                  <w:tcW w:w="468" w:type="pct"/>
                  <w:noWrap w:val="0"/>
                  <w:vAlign w:val="center"/>
                </w:tcPr>
                <w:p w14:paraId="49F095AE">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0.370</w:t>
                  </w:r>
                </w:p>
              </w:tc>
              <w:tc>
                <w:tcPr>
                  <w:tcW w:w="370" w:type="pct"/>
                  <w:noWrap w:val="0"/>
                  <w:vAlign w:val="center"/>
                </w:tcPr>
                <w:p w14:paraId="668B5C4C">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袋式除尘</w:t>
                  </w:r>
                </w:p>
              </w:tc>
              <w:tc>
                <w:tcPr>
                  <w:tcW w:w="743" w:type="pct"/>
                  <w:noWrap w:val="0"/>
                  <w:vAlign w:val="center"/>
                </w:tcPr>
                <w:p w14:paraId="758F75C0">
                  <w:pPr>
                    <w:pStyle w:val="8"/>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98</w:t>
                  </w:r>
                </w:p>
              </w:tc>
            </w:tr>
          </w:tbl>
          <w:p w14:paraId="57C37967">
            <w:pPr>
              <w:pStyle w:val="8"/>
              <w:adjustRightInd w:val="0"/>
              <w:spacing w:before="0" w:after="0" w:line="360" w:lineRule="auto"/>
              <w:ind w:right="105" w:rightChars="50" w:firstLine="480" w:firstLineChars="200"/>
              <w:rPr>
                <w:rFonts w:hint="default" w:ascii="Times New Roman" w:hAnsi="Times New Roman" w:cs="Times New Roman"/>
                <w:bCs/>
                <w:color w:val="000000" w:themeColor="text1"/>
                <w:spacing w:val="0"/>
                <w:position w:val="0"/>
                <w:sz w:val="24"/>
                <w:lang w:eastAsia="zh-CN"/>
                <w14:textFill>
                  <w14:solidFill>
                    <w14:schemeClr w14:val="tx1"/>
                  </w14:solidFill>
                </w14:textFill>
              </w:rPr>
            </w:pPr>
            <w:r>
              <w:rPr>
                <w:rFonts w:hint="default" w:ascii="Times New Roman" w:hAnsi="Times New Roman" w:cs="Times New Roman"/>
                <w:color w:val="000000" w:themeColor="text1"/>
                <w:spacing w:val="0"/>
                <w:sz w:val="24"/>
                <w:szCs w:val="24"/>
                <w:highlight w:val="none"/>
                <w14:textFill>
                  <w14:solidFill>
                    <w14:schemeClr w14:val="tx1"/>
                  </w14:solidFill>
                </w14:textFill>
              </w:rPr>
              <w:t>本项目</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拟采取</w:t>
            </w:r>
            <w:r>
              <w:rPr>
                <w:rFonts w:hint="default" w:ascii="Times New Roman" w:hAnsi="Times New Roman" w:cs="Times New Roman"/>
                <w:color w:val="000000" w:themeColor="text1"/>
                <w:spacing w:val="0"/>
                <w:sz w:val="24"/>
                <w:szCs w:val="24"/>
                <w:highlight w:val="none"/>
                <w14:textFill>
                  <w14:solidFill>
                    <w14:schemeClr w14:val="tx1"/>
                  </w14:solidFill>
                </w14:textFill>
              </w:rPr>
              <w:t>在</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产生粉尘区域</w:t>
            </w:r>
            <w:r>
              <w:rPr>
                <w:rFonts w:hint="default" w:ascii="Times New Roman" w:hAnsi="Times New Roman" w:cs="Times New Roman"/>
                <w:color w:val="000000" w:themeColor="text1"/>
                <w:spacing w:val="0"/>
                <w:sz w:val="24"/>
                <w:szCs w:val="24"/>
                <w:highlight w:val="none"/>
                <w14:textFill>
                  <w14:solidFill>
                    <w14:schemeClr w14:val="tx1"/>
                  </w14:solidFill>
                </w14:textFill>
              </w:rPr>
              <w:t>上方设置</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集气罩</w:t>
            </w:r>
            <w:r>
              <w:rPr>
                <w:rFonts w:hint="default" w:ascii="Times New Roman" w:hAnsi="Times New Roman" w:cs="Times New Roman"/>
                <w:color w:val="000000" w:themeColor="text1"/>
                <w:spacing w:val="0"/>
                <w:sz w:val="24"/>
                <w:szCs w:val="24"/>
                <w:highlight w:val="none"/>
                <w14:textFill>
                  <w14:solidFill>
                    <w14:schemeClr w14:val="tx1"/>
                  </w14:solidFill>
                </w14:textFill>
              </w:rPr>
              <w:t>，可有效减少粉尘</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无组织排放，</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收集</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效率可达</w:t>
            </w:r>
            <w:r>
              <w:rPr>
                <w:rFonts w:hint="eastAsia" w:eastAsia="宋体" w:cs="Times New Roman"/>
                <w:color w:val="000000" w:themeColor="text1"/>
                <w:spacing w:val="0"/>
                <w:position w:val="0"/>
                <w:sz w:val="24"/>
                <w:szCs w:val="24"/>
                <w:highlight w:val="none"/>
                <w:lang w:val="en-US" w:eastAsia="zh-CN"/>
                <w14:textFill>
                  <w14:solidFill>
                    <w14:schemeClr w14:val="tx1"/>
                  </w14:solidFill>
                </w14:textFill>
              </w:rPr>
              <w:t>90</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pacing w:val="0"/>
                <w:position w:val="0"/>
                <w:sz w:val="24"/>
                <w14:textFill>
                  <w14:solidFill>
                    <w14:schemeClr w14:val="tx1"/>
                  </w14:solidFill>
                </w14:textFill>
              </w:rPr>
              <w:t>收集后的粉尘经管道连接至</w:t>
            </w:r>
            <w:r>
              <w:rPr>
                <w:rFonts w:hint="eastAsia" w:cs="Times New Roman"/>
                <w:color w:val="000000" w:themeColor="text1"/>
                <w:spacing w:val="0"/>
                <w:position w:val="0"/>
                <w:sz w:val="24"/>
                <w:szCs w:val="24"/>
                <w:highlight w:val="none"/>
                <w:lang w:val="en-US" w:eastAsia="zh-CN"/>
                <w14:textFill>
                  <w14:solidFill>
                    <w14:schemeClr w14:val="tx1"/>
                  </w14:solidFill>
                </w14:textFill>
              </w:rPr>
              <w:t>旋风除尘+布袋除尘+二级沉降室</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处理后经15m高排气筒（DA00</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）有组织排放，收集粉尘采用的引风机设计风量为10000</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m</w:t>
            </w:r>
            <w:r>
              <w:rPr>
                <w:rFonts w:hint="default" w:ascii="Times New Roman" w:hAnsi="Times New Roman" w:eastAsia="Times New Roman" w:cs="Times New Roman"/>
                <w:color w:val="000000" w:themeColor="text1"/>
                <w:spacing w:val="0"/>
                <w:position w:val="0"/>
                <w:sz w:val="24"/>
                <w:szCs w:val="24"/>
                <w:highlight w:val="none"/>
                <w:vertAlign w:val="superscript"/>
                <w14:textFill>
                  <w14:solidFill>
                    <w14:schemeClr w14:val="tx1"/>
                  </w14:solidFill>
                </w14:textFill>
              </w:rPr>
              <w:t>3</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，除尘器处理效率按9</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%计，</w:t>
            </w:r>
            <w:r>
              <w:rPr>
                <w:rFonts w:hint="default" w:ascii="Times New Roman" w:hAnsi="Times New Roman" w:cs="Times New Roman"/>
                <w:bCs/>
                <w:color w:val="000000" w:themeColor="text1"/>
                <w:spacing w:val="0"/>
                <w:position w:val="0"/>
                <w:sz w:val="24"/>
                <w14:textFill>
                  <w14:solidFill>
                    <w14:schemeClr w14:val="tx1"/>
                  </w14:solidFill>
                </w14:textFill>
              </w:rPr>
              <w:t>生产过程中车间关闭门窗，未收集的粉尘</w:t>
            </w:r>
            <w:r>
              <w:rPr>
                <w:rFonts w:hint="default" w:ascii="Times New Roman" w:hAnsi="Times New Roman" w:cs="Times New Roman"/>
                <w:bCs/>
                <w:color w:val="000000" w:themeColor="text1"/>
                <w:spacing w:val="0"/>
                <w:position w:val="0"/>
                <w:sz w:val="24"/>
                <w:lang w:val="en-US" w:eastAsia="zh-CN"/>
                <w14:textFill>
                  <w14:solidFill>
                    <w14:schemeClr w14:val="tx1"/>
                  </w14:solidFill>
                </w14:textFill>
              </w:rPr>
              <w:t>7</w:t>
            </w:r>
            <w:r>
              <w:rPr>
                <w:rFonts w:hint="default" w:ascii="Times New Roman" w:hAnsi="Times New Roman" w:cs="Times New Roman"/>
                <w:bCs/>
                <w:color w:val="000000" w:themeColor="text1"/>
                <w:spacing w:val="0"/>
                <w:position w:val="0"/>
                <w:sz w:val="24"/>
                <w14:textFill>
                  <w14:solidFill>
                    <w14:schemeClr w14:val="tx1"/>
                  </w14:solidFill>
                </w14:textFill>
              </w:rPr>
              <w:t>0%沉降于车间内，未沉降的粉尘视为无组织排放</w:t>
            </w:r>
            <w:r>
              <w:rPr>
                <w:rFonts w:hint="default" w:ascii="Times New Roman" w:hAnsi="Times New Roman" w:cs="Times New Roman"/>
                <w:bCs/>
                <w:color w:val="000000" w:themeColor="text1"/>
                <w:spacing w:val="0"/>
                <w:position w:val="0"/>
                <w:sz w:val="24"/>
                <w:lang w:eastAsia="zh-CN"/>
                <w14:textFill>
                  <w14:solidFill>
                    <w14:schemeClr w14:val="tx1"/>
                  </w14:solidFill>
                </w14:textFill>
              </w:rPr>
              <w:t>，</w:t>
            </w:r>
            <w:r>
              <w:rPr>
                <w:rFonts w:hint="default" w:ascii="Times New Roman" w:hAnsi="Times New Roman" w:cs="Times New Roman"/>
                <w:bCs/>
                <w:color w:val="000000" w:themeColor="text1"/>
                <w:spacing w:val="0"/>
                <w:position w:val="0"/>
                <w:sz w:val="24"/>
                <w:lang w:val="en-US" w:eastAsia="zh-CN"/>
                <w14:textFill>
                  <w14:solidFill>
                    <w14:schemeClr w14:val="tx1"/>
                  </w14:solidFill>
                </w14:textFill>
              </w:rPr>
              <w:t>沉降的粉尘收集回用于生产</w:t>
            </w:r>
            <w:r>
              <w:rPr>
                <w:rFonts w:hint="default" w:ascii="Times New Roman" w:hAnsi="Times New Roman" w:cs="Times New Roman"/>
                <w:bCs/>
                <w:color w:val="000000" w:themeColor="text1"/>
                <w:spacing w:val="0"/>
                <w:position w:val="0"/>
                <w:sz w:val="24"/>
                <w:lang w:eastAsia="zh-CN"/>
                <w14:textFill>
                  <w14:solidFill>
                    <w14:schemeClr w14:val="tx1"/>
                  </w14:solidFill>
                </w14:textFill>
              </w:rPr>
              <w:t>。</w:t>
            </w:r>
          </w:p>
          <w:p w14:paraId="44873377">
            <w:pPr>
              <w:pStyle w:val="8"/>
              <w:adjustRightInd w:val="0"/>
              <w:spacing w:before="0" w:after="0" w:line="360" w:lineRule="auto"/>
              <w:ind w:right="105" w:rightChars="50" w:firstLine="480" w:firstLineChars="200"/>
              <w:rPr>
                <w:rFonts w:hint="default" w:ascii="Times New Roman" w:hAnsi="Times New Roman" w:cs="Times New Roman"/>
                <w:color w:val="000000" w:themeColor="text1"/>
                <w:spacing w:val="0"/>
                <w:position w:val="0"/>
                <w:sz w:val="24"/>
                <w:szCs w:val="24"/>
                <w:highlight w:val="none"/>
                <w14:textFill>
                  <w14:solidFill>
                    <w14:schemeClr w14:val="tx1"/>
                  </w14:solidFill>
                </w14:textFill>
              </w:rPr>
            </w:pPr>
            <w:r>
              <w:rPr>
                <w:rFonts w:hint="eastAsia" w:cs="Times New Roman"/>
                <w:color w:val="000000" w:themeColor="text1"/>
                <w:spacing w:val="0"/>
                <w:position w:val="0"/>
                <w:sz w:val="24"/>
                <w:szCs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粉尘有组织排放量为</w:t>
            </w:r>
            <w:r>
              <w:rPr>
                <w:rFonts w:hint="eastAsia" w:cs="Times New Roman"/>
                <w:color w:val="000000" w:themeColor="text1"/>
                <w:spacing w:val="0"/>
                <w:position w:val="0"/>
                <w:sz w:val="24"/>
                <w:szCs w:val="24"/>
                <w:highlight w:val="none"/>
                <w:lang w:val="en-US" w:eastAsia="zh-CN"/>
                <w14:textFill>
                  <w14:solidFill>
                    <w14:schemeClr w14:val="tx1"/>
                  </w14:solidFill>
                </w14:textFill>
              </w:rPr>
              <w:t>0.147</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t/a</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排放速率为</w:t>
            </w:r>
            <w:r>
              <w:rPr>
                <w:rFonts w:hint="eastAsia" w:cs="Times New Roman"/>
                <w:color w:val="000000" w:themeColor="text1"/>
                <w:spacing w:val="0"/>
                <w:position w:val="0"/>
                <w:sz w:val="24"/>
                <w:szCs w:val="24"/>
                <w:highlight w:val="none"/>
                <w:lang w:val="en-US" w:eastAsia="zh-CN"/>
                <w14:textFill>
                  <w14:solidFill>
                    <w14:schemeClr w14:val="tx1"/>
                  </w14:solidFill>
                </w14:textFill>
              </w:rPr>
              <w:t>0.122kg</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排放浓度为</w:t>
            </w:r>
            <w:r>
              <w:rPr>
                <w:rFonts w:hint="eastAsia" w:cs="Times New Roman"/>
                <w:color w:val="000000" w:themeColor="text1"/>
                <w:spacing w:val="0"/>
                <w:position w:val="0"/>
                <w:sz w:val="24"/>
                <w:szCs w:val="24"/>
                <w:highlight w:val="none"/>
                <w:lang w:val="en-US" w:eastAsia="zh-CN"/>
                <w14:textFill>
                  <w14:solidFill>
                    <w14:schemeClr w14:val="tx1"/>
                  </w14:solidFill>
                </w14:textFill>
              </w:rPr>
              <w:t>12.21</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mg/</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m³</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无组织废气排放量为</w:t>
            </w:r>
            <w:r>
              <w:rPr>
                <w:rFonts w:hint="eastAsia" w:cs="Times New Roman"/>
                <w:color w:val="000000" w:themeColor="text1"/>
                <w:spacing w:val="0"/>
                <w:position w:val="0"/>
                <w:sz w:val="24"/>
                <w:szCs w:val="24"/>
                <w:highlight w:val="none"/>
                <w:lang w:val="en-US" w:eastAsia="zh-CN"/>
                <w14:textFill>
                  <w14:solidFill>
                    <w14:schemeClr w14:val="tx1"/>
                  </w14:solidFill>
                </w14:textFill>
              </w:rPr>
              <w:t>0.244</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t/a，排放速率为</w:t>
            </w:r>
            <w:r>
              <w:rPr>
                <w:rFonts w:hint="eastAsia" w:cs="Times New Roman"/>
                <w:color w:val="000000" w:themeColor="text1"/>
                <w:spacing w:val="0"/>
                <w:position w:val="0"/>
                <w:sz w:val="24"/>
                <w:szCs w:val="24"/>
                <w:highlight w:val="none"/>
                <w:lang w:val="en-US" w:eastAsia="zh-CN"/>
                <w14:textFill>
                  <w14:solidFill>
                    <w14:schemeClr w14:val="tx1"/>
                  </w14:solidFill>
                </w14:textFill>
              </w:rPr>
              <w:t>0.204kg</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有组织废气排放</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满足《大气污染物综合排放标准》（</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GB16297-1996</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）表</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有</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组织排放</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最高</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标准限值</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及最高允许排放速率</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无组织废气排放满足</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《大气污染物综合排放标准》（</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GB16297-1996</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）表</w:t>
            </w:r>
            <w:r>
              <w:rPr>
                <w:rFonts w:hint="default" w:ascii="Times New Roman" w:hAnsi="Times New Roman" w:eastAsia="Times New Roman" w:cs="Times New Roman"/>
                <w:color w:val="000000" w:themeColor="text1"/>
                <w:spacing w:val="0"/>
                <w:position w:val="0"/>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颗粒物无组织排放监控浓度限值。</w:t>
            </w:r>
            <w:r>
              <w:rPr>
                <w:rFonts w:hint="default" w:ascii="Times New Roman" w:hAnsi="Times New Roman" w:cs="Times New Roman"/>
                <w:color w:val="000000" w:themeColor="text1"/>
                <w:spacing w:val="0"/>
                <w:position w:val="0"/>
                <w:sz w:val="24"/>
                <w:szCs w:val="24"/>
                <w:highlight w:val="none"/>
                <w14:textFill>
                  <w14:solidFill>
                    <w14:schemeClr w14:val="tx1"/>
                  </w14:solidFill>
                </w14:textFill>
              </w:rPr>
              <w:t>因此粉尘对环境影响较小。</w:t>
            </w:r>
          </w:p>
          <w:p w14:paraId="2C9144EB">
            <w:pPr>
              <w:pStyle w:val="8"/>
              <w:adjustRightInd w:val="0"/>
              <w:spacing w:before="0" w:after="0" w:line="360" w:lineRule="auto"/>
              <w:ind w:left="105" w:leftChars="50" w:right="105" w:rightChars="50" w:firstLine="480" w:firstLineChars="200"/>
              <w:rPr>
                <w:rFonts w:hint="default" w:ascii="Times New Roman" w:hAnsi="Times New Roman" w:eastAsia="宋体" w:cs="Times New Roman"/>
                <w:color w:val="000000" w:themeColor="text1"/>
                <w:spacing w:val="-3"/>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恶臭</w:t>
            </w:r>
          </w:p>
          <w:p w14:paraId="24D9A3D1">
            <w:pPr>
              <w:pStyle w:val="57"/>
              <w:spacing w:line="360" w:lineRule="auto"/>
              <w:ind w:firstLine="480" w:firstLineChars="200"/>
              <w:rPr>
                <w:rFonts w:hint="eastAsia" w:ascii="Times New Roman" w:hAnsi="Times New Roman" w:eastAsia="宋体" w:cs="Times New Roman"/>
                <w:bCs/>
                <w:color w:val="000000" w:themeColor="text1"/>
                <w:szCs w:val="22"/>
                <w:lang w:val="en-US" w:eastAsia="zh-CN"/>
                <w14:textFill>
                  <w14:solidFill>
                    <w14:schemeClr w14:val="tx1"/>
                  </w14:solidFill>
                </w14:textFill>
              </w:rPr>
            </w:pPr>
            <w:r>
              <w:rPr>
                <w:rFonts w:hint="eastAsia" w:ascii="Times New Roman" w:hAnsi="Times New Roman" w:eastAsia="宋体" w:cs="Times New Roman"/>
                <w:bCs/>
                <w:color w:val="000000" w:themeColor="text1"/>
                <w:szCs w:val="22"/>
                <w:lang w:val="en-US" w:eastAsia="zh-CN"/>
                <w14:textFill>
                  <w14:solidFill>
                    <w14:schemeClr w14:val="tx1"/>
                  </w14:solidFill>
                </w14:textFill>
              </w:rPr>
              <w:t>本项目粪污在发酵后期无臭味，故造粒生产车间处理的物料基本无恶臭气体产生，项目恶臭气体产生主要在发酵车间。原料粪污发酵过程中原料在微生物的作用下，会产生恶臭气体，产生的恶臭与天气有很大关系，夏季温度越高，产生的恶臭气体越多，本项目按照夏季最不利影响进行分析，主要污染物为NH</w:t>
            </w:r>
            <w:r>
              <w:rPr>
                <w:rFonts w:hint="eastAsia" w:ascii="Times New Roman" w:hAnsi="Times New Roman" w:eastAsia="宋体" w:cs="Times New Roman"/>
                <w:bCs/>
                <w:color w:val="000000" w:themeColor="text1"/>
                <w:szCs w:val="22"/>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Cs w:val="22"/>
                <w:lang w:val="en-US" w:eastAsia="zh-CN"/>
                <w14:textFill>
                  <w14:solidFill>
                    <w14:schemeClr w14:val="tx1"/>
                  </w14:solidFill>
                </w14:textFill>
              </w:rPr>
              <w:t>和H</w:t>
            </w:r>
            <w:r>
              <w:rPr>
                <w:rFonts w:hint="eastAsia" w:ascii="Times New Roman" w:hAnsi="Times New Roman" w:eastAsia="宋体" w:cs="Times New Roman"/>
                <w:bCs/>
                <w:color w:val="000000" w:themeColor="text1"/>
                <w:szCs w:val="22"/>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Cs w:val="22"/>
                <w:lang w:val="en-US" w:eastAsia="zh-CN"/>
                <w14:textFill>
                  <w14:solidFill>
                    <w14:schemeClr w14:val="tx1"/>
                  </w14:solidFill>
                </w14:textFill>
              </w:rPr>
              <w:t>S。NH</w:t>
            </w:r>
            <w:r>
              <w:rPr>
                <w:rFonts w:hint="eastAsia" w:ascii="Times New Roman" w:hAnsi="Times New Roman" w:eastAsia="宋体" w:cs="Times New Roman"/>
                <w:bCs/>
                <w:color w:val="000000" w:themeColor="text1"/>
                <w:szCs w:val="22"/>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zCs w:val="22"/>
                <w:lang w:val="en-US" w:eastAsia="zh-CN"/>
                <w14:textFill>
                  <w14:solidFill>
                    <w14:schemeClr w14:val="tx1"/>
                  </w14:solidFill>
                </w14:textFill>
              </w:rPr>
              <w:t>为无色气体，有强烈的刺激气味，嗅觉阈值为0.1ppm，H</w:t>
            </w:r>
            <w:r>
              <w:rPr>
                <w:rFonts w:hint="eastAsia" w:ascii="Times New Roman" w:hAnsi="Times New Roman" w:eastAsia="宋体" w:cs="Times New Roman"/>
                <w:bCs/>
                <w:color w:val="000000" w:themeColor="text1"/>
                <w:szCs w:val="22"/>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Cs w:val="22"/>
                <w:lang w:val="en-US" w:eastAsia="zh-CN"/>
                <w14:textFill>
                  <w14:solidFill>
                    <w14:schemeClr w14:val="tx1"/>
                  </w14:solidFill>
                </w14:textFill>
              </w:rPr>
              <w:t>S为无色气体，有恶臭和毒性，具有臭鸡蛋气味，其嗅觉阈值为0.0005ppm。</w:t>
            </w:r>
          </w:p>
          <w:p w14:paraId="6E6FB76A">
            <w:pPr>
              <w:pStyle w:val="57"/>
              <w:spacing w:line="360" w:lineRule="auto"/>
              <w:ind w:firstLine="480" w:firstLineChars="200"/>
              <w:rPr>
                <w:rFonts w:hint="default"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2"/>
                <w:lang w:val="en-US" w:eastAsia="zh-CN"/>
                <w14:textFill>
                  <w14:solidFill>
                    <w14:schemeClr w14:val="tx1"/>
                  </w14:solidFill>
                </w14:textFill>
              </w:rPr>
              <w:t>根据《第一次全国污染源普查畜禽养殖业源产排污手册》（2009年2月，中国农业科学院农业环境与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可持续发展研究所和环境保护部南京环境科学研究所编写）和《畜禽场环境评价》（刘成国主编，中国标准出版社）中的数据，粪便挥发量约为粪便的0.06%，NH</w:t>
            </w:r>
            <w:r>
              <w:rPr>
                <w:rFonts w:hint="eastAsia"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约占挥发量的25%，H</w:t>
            </w:r>
            <w:r>
              <w:rPr>
                <w:rFonts w:hint="eastAsia"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S约占挥发量的10%，项目发酵采用原料年用量约为30350t，则项目NH</w:t>
            </w:r>
            <w:r>
              <w:rPr>
                <w:rFonts w:hint="eastAsia"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产生量4.553t/a、H</w:t>
            </w:r>
            <w:r>
              <w:rPr>
                <w:rFonts w:hint="eastAsia"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S产生量1.821t/a。本项目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年发酵时间7200h，则本项目NH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产生速率为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0.632kg</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S产生速率为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0.253kg</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p>
          <w:p w14:paraId="081E86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项目拟采取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将发酵过程产生的恶臭气体进行负压收集后采取除臭净化处理，恶臭处理工艺采用一体化生物滤池除臭设备，恶臭气体先由集气系统将发酵区臭气集中收集，因发酵车间全密闭处理，收集效率可以达到</w:t>
            </w:r>
            <w:r>
              <w:rPr>
                <w:rFonts w:hint="eastAsia" w:cs="Times New Roman"/>
                <w:color w:val="000000" w:themeColor="text1"/>
                <w:kern w:val="0"/>
                <w:sz w:val="24"/>
                <w:szCs w:val="24"/>
                <w:lang w:val="en-US" w:eastAsia="zh-CN" w:bidi="ar"/>
                <w14:textFill>
                  <w14:solidFill>
                    <w14:schemeClr w14:val="tx1"/>
                  </w14:solidFill>
                </w14:textFill>
              </w:rPr>
              <w:t>98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%，然后送入一体化生物除臭</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装置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内进行净化处理，处理效率可达到60%以上</w:t>
            </w:r>
            <w:r>
              <w:rPr>
                <w:rFonts w:hint="eastAsia" w:cs="Times New Roman"/>
                <w:color w:val="000000" w:themeColor="text1"/>
                <w:kern w:val="0"/>
                <w:sz w:val="24"/>
                <w:szCs w:val="24"/>
                <w:lang w:val="en-US" w:eastAsia="zh-CN" w:bidi="ar"/>
                <w14:textFill>
                  <w14:solidFill>
                    <w14:schemeClr w14:val="tx1"/>
                  </w14:solidFill>
                </w14:textFill>
              </w:rPr>
              <w:t>，废气收集装置风机风量为20000m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/h，</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处理后的废气通过15m排气筒</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（DA002）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，则NH</w:t>
            </w:r>
            <w:r>
              <w:rPr>
                <w:rFonts w:hint="default" w:ascii="Times New Roman" w:hAnsi="Times New Roman"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排放量为</w:t>
            </w:r>
            <w:r>
              <w:rPr>
                <w:rFonts w:hint="eastAsia" w:cs="Times New Roman"/>
                <w:color w:val="000000" w:themeColor="text1"/>
                <w:kern w:val="0"/>
                <w:sz w:val="24"/>
                <w:szCs w:val="24"/>
                <w:lang w:val="en-US" w:eastAsia="zh-CN" w:bidi="ar"/>
                <w14:textFill>
                  <w14:solidFill>
                    <w14:schemeClr w14:val="tx1"/>
                  </w14:solidFill>
                </w14:textFill>
              </w:rPr>
              <w:t>1.785t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/a，有组织排放速率</w:t>
            </w:r>
            <w:r>
              <w:rPr>
                <w:rFonts w:hint="eastAsia" w:cs="Times New Roman"/>
                <w:color w:val="000000" w:themeColor="text1"/>
                <w:kern w:val="0"/>
                <w:sz w:val="24"/>
                <w:szCs w:val="24"/>
                <w:lang w:val="en-US" w:eastAsia="zh-CN" w:bidi="ar"/>
                <w14:textFill>
                  <w14:solidFill>
                    <w14:schemeClr w14:val="tx1"/>
                  </w14:solidFill>
                </w14:textFill>
              </w:rPr>
              <w:t>0.204kg</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/h，排放浓度为</w:t>
            </w:r>
            <w:r>
              <w:rPr>
                <w:rFonts w:hint="eastAsia" w:cs="Times New Roman"/>
                <w:color w:val="000000" w:themeColor="text1"/>
                <w:kern w:val="0"/>
                <w:sz w:val="24"/>
                <w:szCs w:val="24"/>
                <w:lang w:val="en-US" w:eastAsia="zh-CN" w:bidi="ar"/>
                <w14:textFill>
                  <w14:solidFill>
                    <w14:schemeClr w14:val="tx1"/>
                  </w14:solidFill>
                </w14:textFill>
              </w:rPr>
              <w:t>12.393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mg/</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m³</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；无组织排放量为</w:t>
            </w:r>
            <w:r>
              <w:rPr>
                <w:rFonts w:hint="eastAsia" w:cs="Times New Roman"/>
                <w:color w:val="000000" w:themeColor="text1"/>
                <w:kern w:val="0"/>
                <w:sz w:val="24"/>
                <w:szCs w:val="24"/>
                <w:lang w:val="en-US" w:eastAsia="zh-CN" w:bidi="ar"/>
                <w14:textFill>
                  <w14:solidFill>
                    <w14:schemeClr w14:val="tx1"/>
                  </w14:solidFill>
                </w14:textFill>
              </w:rPr>
              <w:t>0.091t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/a，无组织排放速率为</w:t>
            </w:r>
            <w:r>
              <w:rPr>
                <w:rFonts w:hint="eastAsia" w:cs="Times New Roman"/>
                <w:color w:val="000000" w:themeColor="text1"/>
                <w:kern w:val="0"/>
                <w:sz w:val="24"/>
                <w:szCs w:val="24"/>
                <w:lang w:val="en-US" w:eastAsia="zh-CN" w:bidi="ar"/>
                <w14:textFill>
                  <w14:solidFill>
                    <w14:schemeClr w14:val="tx1"/>
                  </w14:solidFill>
                </w14:textFill>
              </w:rPr>
              <w:t>0.013kg</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/h；H</w:t>
            </w:r>
            <w:r>
              <w:rPr>
                <w:rFonts w:hint="default" w:ascii="Times New Roman" w:hAnsi="Times New Roman"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S有组织排放量为</w:t>
            </w:r>
            <w:r>
              <w:rPr>
                <w:rFonts w:hint="eastAsia" w:cs="Times New Roman"/>
                <w:color w:val="000000" w:themeColor="text1"/>
                <w:kern w:val="0"/>
                <w:sz w:val="24"/>
                <w:szCs w:val="24"/>
                <w:lang w:val="en-US" w:eastAsia="zh-CN" w:bidi="ar"/>
                <w14:textFill>
                  <w14:solidFill>
                    <w14:schemeClr w14:val="tx1"/>
                  </w14:solidFill>
                </w14:textFill>
              </w:rPr>
              <w:t>0.714t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/a，排放速率为</w:t>
            </w:r>
            <w:r>
              <w:rPr>
                <w:rFonts w:hint="eastAsia" w:cs="Times New Roman"/>
                <w:color w:val="000000" w:themeColor="text1"/>
                <w:kern w:val="0"/>
                <w:sz w:val="24"/>
                <w:szCs w:val="24"/>
                <w:lang w:val="en-US" w:eastAsia="zh-CN" w:bidi="ar"/>
                <w14:textFill>
                  <w14:solidFill>
                    <w14:schemeClr w14:val="tx1"/>
                  </w14:solidFill>
                </w14:textFill>
              </w:rPr>
              <w:t>0.099kg</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/h，有组织排放浓度为</w:t>
            </w:r>
            <w:r>
              <w:rPr>
                <w:rFonts w:hint="eastAsia" w:cs="Times New Roman"/>
                <w:color w:val="000000" w:themeColor="text1"/>
                <w:kern w:val="0"/>
                <w:sz w:val="24"/>
                <w:szCs w:val="24"/>
                <w:lang w:val="en-US" w:eastAsia="zh-CN" w:bidi="ar"/>
                <w14:textFill>
                  <w14:solidFill>
                    <w14:schemeClr w14:val="tx1"/>
                  </w14:solidFill>
                </w14:textFill>
              </w:rPr>
              <w:t>4.957</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mg/</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m³</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；无组织排放量为</w:t>
            </w:r>
            <w:r>
              <w:rPr>
                <w:rFonts w:hint="eastAsia" w:cs="Times New Roman"/>
                <w:color w:val="000000" w:themeColor="text1"/>
                <w:kern w:val="0"/>
                <w:sz w:val="24"/>
                <w:szCs w:val="24"/>
                <w:lang w:val="en-US" w:eastAsia="zh-CN" w:bidi="ar"/>
                <w14:textFill>
                  <w14:solidFill>
                    <w14:schemeClr w14:val="tx1"/>
                  </w14:solidFill>
                </w14:textFill>
              </w:rPr>
              <w:t>0.036t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/a，无组织排放速率为</w:t>
            </w:r>
            <w:r>
              <w:rPr>
                <w:rFonts w:hint="eastAsia" w:cs="Times New Roman"/>
                <w:color w:val="000000" w:themeColor="text1"/>
                <w:kern w:val="0"/>
                <w:sz w:val="24"/>
                <w:szCs w:val="24"/>
                <w:lang w:val="en-US" w:eastAsia="zh-CN" w:bidi="ar"/>
                <w14:textFill>
                  <w14:solidFill>
                    <w14:schemeClr w14:val="tx1"/>
                  </w14:solidFill>
                </w14:textFill>
              </w:rPr>
              <w:t>0.005kg</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/h</w:t>
            </w:r>
            <w:r>
              <w:rPr>
                <w:rFonts w:hint="eastAsia" w:cs="Times New Roman"/>
                <w:color w:val="000000" w:themeColor="text1"/>
                <w:kern w:val="0"/>
                <w:sz w:val="24"/>
                <w:szCs w:val="24"/>
                <w:lang w:val="en-US" w:eastAsia="zh-CN" w:bidi="ar"/>
                <w14:textFill>
                  <w14:solidFill>
                    <w14:schemeClr w14:val="tx1"/>
                  </w14:solidFill>
                </w14:textFill>
              </w:rPr>
              <w:t>。</w:t>
            </w:r>
          </w:p>
          <w:p w14:paraId="45887B16">
            <w:pPr>
              <w:pStyle w:val="8"/>
              <w:numPr>
                <w:ilvl w:val="0"/>
                <w:numId w:val="8"/>
              </w:numPr>
              <w:adjustRightInd w:val="0"/>
              <w:spacing w:before="0" w:after="0" w:line="360" w:lineRule="auto"/>
              <w:ind w:left="105" w:leftChars="50" w:right="105" w:rightChars="50" w:firstLine="480" w:firstLineChars="200"/>
              <w:rPr>
                <w:rFonts w:hint="eastAsia" w:cs="Times New Roman"/>
                <w:color w:val="000000" w:themeColor="text1"/>
                <w:spacing w:val="0"/>
                <w:position w:val="0"/>
                <w:sz w:val="24"/>
                <w:szCs w:val="24"/>
                <w:highlight w:val="none"/>
                <w:lang w:val="en-US" w:eastAsia="zh-CN"/>
                <w14:textFill>
                  <w14:solidFill>
                    <w14:schemeClr w14:val="tx1"/>
                  </w14:solidFill>
                </w14:textFill>
              </w:rPr>
            </w:pPr>
            <w:r>
              <w:rPr>
                <w:rFonts w:hint="eastAsia" w:cs="Times New Roman"/>
                <w:color w:val="000000" w:themeColor="text1"/>
                <w:spacing w:val="0"/>
                <w:position w:val="0"/>
                <w:sz w:val="24"/>
                <w:szCs w:val="24"/>
                <w:highlight w:val="none"/>
                <w:lang w:val="en-US" w:eastAsia="zh-CN"/>
                <w14:textFill>
                  <w14:solidFill>
                    <w14:schemeClr w14:val="tx1"/>
                  </w14:solidFill>
                </w14:textFill>
              </w:rPr>
              <w:t>燃烧废气</w:t>
            </w:r>
          </w:p>
          <w:p w14:paraId="5EC246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烘干工序烘干机采用的是间接式热风炉提供，热风炉配套低氮燃烧机（处理效率按50%计算），燃烧醇基燃料产生的热量经过换热器将冷空气加热，经间接加热后的热空气通过热风机经管道送入塔体进行烘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热风炉燃烧产生的污染物主要为颗粒物、SO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和NO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X</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，热风炉燃烧废气经1根15m排气筒排放。</w:t>
            </w:r>
          </w:p>
          <w:p w14:paraId="0FAB814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eastAsia" w:ascii="Times New Roman" w:hAnsi="Times New Roman" w:cs="Times New Roman"/>
                <w:color w:val="auto"/>
                <w:sz w:val="24"/>
                <w:vertAlign w:val="baseline"/>
                <w:lang w:eastAsia="zh-CN"/>
              </w:rPr>
              <w:t>本项目</w:t>
            </w:r>
            <w:r>
              <w:rPr>
                <w:rFonts w:hint="eastAsia" w:ascii="Times New Roman" w:hAnsi="Times New Roman" w:cs="Times New Roman"/>
                <w:color w:val="auto"/>
                <w:sz w:val="24"/>
                <w:lang w:eastAsia="zh-CN"/>
              </w:rPr>
              <w:t>醇基燃料</w:t>
            </w:r>
            <w:r>
              <w:rPr>
                <w:rFonts w:hint="default" w:ascii="Times New Roman" w:hAnsi="Times New Roman" w:eastAsia="宋体" w:cs="Times New Roman"/>
                <w:color w:val="auto"/>
                <w:sz w:val="24"/>
                <w:lang w:eastAsia="zh-CN"/>
              </w:rPr>
              <w:t>最大</w:t>
            </w:r>
            <w:r>
              <w:rPr>
                <w:rFonts w:hint="default" w:ascii="Times New Roman" w:hAnsi="Times New Roman" w:eastAsia="宋体" w:cs="Times New Roman"/>
                <w:color w:val="auto"/>
                <w:sz w:val="24"/>
              </w:rPr>
              <w:t>消耗量为</w:t>
            </w:r>
            <w:r>
              <w:rPr>
                <w:rFonts w:hint="eastAsia" w:cs="Times New Roman"/>
                <w:color w:val="auto"/>
                <w:sz w:val="24"/>
                <w:lang w:val="en-US" w:eastAsia="zh-CN"/>
              </w:rPr>
              <w:t>36</w:t>
            </w:r>
            <w:r>
              <w:rPr>
                <w:rFonts w:hint="eastAsia" w:ascii="Times New Roman" w:hAnsi="Times New Roman" w:cs="Times New Roman"/>
                <w:color w:val="auto"/>
                <w:sz w:val="24"/>
                <w:lang w:val="en-US" w:eastAsia="zh-CN"/>
              </w:rPr>
              <w:t>t/a，热风炉配套风机设计风量5000m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/h，年烘干时间</w:t>
            </w:r>
            <w:r>
              <w:rPr>
                <w:rFonts w:hint="eastAsia" w:cs="Times New Roman"/>
                <w:color w:val="auto"/>
                <w:sz w:val="24"/>
                <w:lang w:val="en-US" w:eastAsia="zh-CN"/>
              </w:rPr>
              <w:t>1200</w:t>
            </w:r>
            <w:r>
              <w:rPr>
                <w:rFonts w:hint="eastAsia" w:ascii="Times New Roman" w:hAnsi="Times New Roman" w:cs="Times New Roman"/>
                <w:color w:val="auto"/>
                <w:sz w:val="24"/>
                <w:lang w:val="en-US" w:eastAsia="zh-CN"/>
              </w:rPr>
              <w:t>h。</w:t>
            </w:r>
            <w:r>
              <w:rPr>
                <w:rFonts w:hint="default" w:ascii="Times New Roman" w:hAnsi="Times New Roman" w:cs="Times New Roman"/>
                <w:color w:val="auto"/>
                <w:sz w:val="24"/>
              </w:rPr>
              <w:t>本次环评根据《污染源源强核算技术指南 锅炉》（HJ991—2018）</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《排放源统计调查产排污核算方法和系数手册》中“4430工业锅炉（热力生产和供应行业）</w:t>
            </w:r>
            <w:r>
              <w:rPr>
                <w:rFonts w:hint="eastAsia" w:ascii="Times New Roman" w:hAnsi="Times New Roman" w:cs="Times New Roman"/>
                <w:color w:val="auto"/>
                <w:sz w:val="24"/>
                <w:lang w:eastAsia="zh-CN"/>
              </w:rPr>
              <w:t>中的相关要求及</w:t>
            </w:r>
            <w:r>
              <w:rPr>
                <w:rFonts w:hint="default" w:ascii="Times New Roman" w:hAnsi="Times New Roman" w:eastAsia="宋体" w:cs="Times New Roman"/>
                <w:color w:val="auto"/>
                <w:sz w:val="24"/>
                <w:highlight w:val="none"/>
                <w:lang w:eastAsia="zh-CN"/>
              </w:rPr>
              <w:t>工艺产</w:t>
            </w:r>
            <w:r>
              <w:rPr>
                <w:rFonts w:hint="default" w:ascii="Times New Roman" w:hAnsi="Times New Roman" w:eastAsia="宋体" w:cs="Times New Roman"/>
                <w:color w:val="auto"/>
                <w:sz w:val="24"/>
                <w:highlight w:val="none"/>
                <w:lang w:val="en-US" w:eastAsia="zh-CN"/>
              </w:rPr>
              <w:t>污</w:t>
            </w:r>
            <w:r>
              <w:rPr>
                <w:rFonts w:hint="default" w:ascii="Times New Roman" w:hAnsi="Times New Roman" w:eastAsia="宋体" w:cs="Times New Roman"/>
                <w:color w:val="auto"/>
                <w:sz w:val="24"/>
                <w:highlight w:val="none"/>
                <w:lang w:eastAsia="zh-CN"/>
              </w:rPr>
              <w:t>系数</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rPr>
              <w:t>见表4-</w:t>
            </w:r>
            <w:r>
              <w:rPr>
                <w:rFonts w:hint="eastAsia" w:cs="Times New Roman"/>
                <w:color w:val="auto"/>
                <w:sz w:val="24"/>
                <w:lang w:val="en-US" w:eastAsia="zh-CN"/>
              </w:rPr>
              <w:t>3</w:t>
            </w:r>
            <w:r>
              <w:rPr>
                <w:rFonts w:hint="default" w:ascii="Times New Roman" w:hAnsi="Times New Roman" w:cs="Times New Roman"/>
                <w:color w:val="auto"/>
                <w:sz w:val="24"/>
              </w:rPr>
              <w:t>。</w:t>
            </w:r>
          </w:p>
          <w:p w14:paraId="493E9723">
            <w:pPr>
              <w:adjustRightInd w:val="0"/>
              <w:snapToGrid w:val="0"/>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热风炉燃烧废气产污系数一览表</w:t>
            </w:r>
          </w:p>
          <w:tbl>
            <w:tblPr>
              <w:tblStyle w:val="22"/>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58"/>
              <w:gridCol w:w="1081"/>
              <w:gridCol w:w="1169"/>
              <w:gridCol w:w="1332"/>
              <w:gridCol w:w="1762"/>
              <w:gridCol w:w="1848"/>
            </w:tblGrid>
            <w:tr w14:paraId="67B35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98" w:hRule="atLeast"/>
              </w:trPr>
              <w:tc>
                <w:tcPr>
                  <w:tcW w:w="641" w:type="pct"/>
                  <w:noWrap w:val="0"/>
                  <w:vAlign w:val="center"/>
                </w:tcPr>
                <w:p w14:paraId="71BD9D96">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产品名称</w:t>
                  </w:r>
                </w:p>
              </w:tc>
              <w:tc>
                <w:tcPr>
                  <w:tcW w:w="655" w:type="pct"/>
                  <w:noWrap w:val="0"/>
                  <w:vAlign w:val="center"/>
                </w:tcPr>
                <w:p w14:paraId="3C37598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燃料名称</w:t>
                  </w:r>
                </w:p>
              </w:tc>
              <w:tc>
                <w:tcPr>
                  <w:tcW w:w="708" w:type="pct"/>
                  <w:noWrap w:val="0"/>
                  <w:vAlign w:val="center"/>
                </w:tcPr>
                <w:p w14:paraId="146AE9D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工艺名称</w:t>
                  </w:r>
                </w:p>
              </w:tc>
              <w:tc>
                <w:tcPr>
                  <w:tcW w:w="806" w:type="pct"/>
                  <w:noWrap w:val="0"/>
                  <w:vAlign w:val="center"/>
                </w:tcPr>
                <w:p w14:paraId="41D5F81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污染物指标</w:t>
                  </w:r>
                </w:p>
              </w:tc>
              <w:tc>
                <w:tcPr>
                  <w:tcW w:w="1067" w:type="pct"/>
                  <w:noWrap w:val="0"/>
                  <w:vAlign w:val="center"/>
                </w:tcPr>
                <w:p w14:paraId="58B2EEF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单位</w:t>
                  </w:r>
                </w:p>
              </w:tc>
              <w:tc>
                <w:tcPr>
                  <w:tcW w:w="1120" w:type="pct"/>
                  <w:noWrap w:val="0"/>
                  <w:vAlign w:val="center"/>
                </w:tcPr>
                <w:p w14:paraId="009AC02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产污系数</w:t>
                  </w:r>
                </w:p>
              </w:tc>
            </w:tr>
            <w:tr w14:paraId="4783B9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8" w:hRule="atLeast"/>
              </w:trPr>
              <w:tc>
                <w:tcPr>
                  <w:tcW w:w="641" w:type="pct"/>
                  <w:vMerge w:val="restart"/>
                  <w:noWrap w:val="0"/>
                  <w:vAlign w:val="center"/>
                </w:tcPr>
                <w:p w14:paraId="245827F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蒸汽/热水/其他</w:t>
                  </w:r>
                </w:p>
              </w:tc>
              <w:tc>
                <w:tcPr>
                  <w:tcW w:w="655" w:type="pct"/>
                  <w:vMerge w:val="restart"/>
                  <w:noWrap w:val="0"/>
                  <w:vAlign w:val="center"/>
                </w:tcPr>
                <w:p w14:paraId="741B96B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醇基燃料</w:t>
                  </w:r>
                </w:p>
              </w:tc>
              <w:tc>
                <w:tcPr>
                  <w:tcW w:w="708" w:type="pct"/>
                  <w:vMerge w:val="restart"/>
                  <w:noWrap w:val="0"/>
                  <w:vAlign w:val="center"/>
                </w:tcPr>
                <w:p w14:paraId="6F32938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室燃炉</w:t>
                  </w:r>
                </w:p>
              </w:tc>
              <w:tc>
                <w:tcPr>
                  <w:tcW w:w="806" w:type="pct"/>
                  <w:noWrap w:val="0"/>
                  <w:vAlign w:val="center"/>
                </w:tcPr>
                <w:p w14:paraId="68CFBA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067" w:type="pct"/>
                  <w:noWrap w:val="0"/>
                  <w:vAlign w:val="center"/>
                </w:tcPr>
                <w:p w14:paraId="3E66443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千克/吨-原料</w:t>
                  </w:r>
                </w:p>
              </w:tc>
              <w:tc>
                <w:tcPr>
                  <w:tcW w:w="1120" w:type="pct"/>
                  <w:noWrap w:val="0"/>
                  <w:vAlign w:val="center"/>
                </w:tcPr>
                <w:p w14:paraId="0728EFC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0.26</w:t>
                  </w:r>
                </w:p>
              </w:tc>
            </w:tr>
            <w:tr w14:paraId="724117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41" w:type="pct"/>
                  <w:vMerge w:val="continue"/>
                  <w:noWrap w:val="0"/>
                  <w:vAlign w:val="center"/>
                </w:tcPr>
                <w:p w14:paraId="5F5381BC">
                  <w:pPr>
                    <w:adjustRightInd w:val="0"/>
                    <w:snapToGrid w:val="0"/>
                    <w:jc w:val="center"/>
                    <w:rPr>
                      <w:rFonts w:hint="default" w:ascii="Times New Roman" w:hAnsi="Times New Roman" w:cs="Times New Roman"/>
                      <w:color w:val="auto"/>
                      <w:szCs w:val="21"/>
                    </w:rPr>
                  </w:pPr>
                </w:p>
              </w:tc>
              <w:tc>
                <w:tcPr>
                  <w:tcW w:w="655" w:type="pct"/>
                  <w:vMerge w:val="continue"/>
                  <w:noWrap w:val="0"/>
                  <w:vAlign w:val="center"/>
                </w:tcPr>
                <w:p w14:paraId="419812AC">
                  <w:pPr>
                    <w:adjustRightInd w:val="0"/>
                    <w:snapToGrid w:val="0"/>
                    <w:jc w:val="center"/>
                    <w:rPr>
                      <w:rFonts w:hint="default" w:ascii="Times New Roman" w:hAnsi="Times New Roman" w:cs="Times New Roman"/>
                      <w:color w:val="auto"/>
                      <w:szCs w:val="21"/>
                    </w:rPr>
                  </w:pPr>
                </w:p>
              </w:tc>
              <w:tc>
                <w:tcPr>
                  <w:tcW w:w="708" w:type="pct"/>
                  <w:vMerge w:val="continue"/>
                  <w:noWrap w:val="0"/>
                  <w:vAlign w:val="center"/>
                </w:tcPr>
                <w:p w14:paraId="5397E0A3">
                  <w:pPr>
                    <w:adjustRightInd w:val="0"/>
                    <w:snapToGrid w:val="0"/>
                    <w:jc w:val="center"/>
                    <w:rPr>
                      <w:rFonts w:hint="default" w:ascii="Times New Roman" w:hAnsi="Times New Roman" w:cs="Times New Roman"/>
                      <w:color w:val="auto"/>
                      <w:szCs w:val="21"/>
                    </w:rPr>
                  </w:pPr>
                </w:p>
              </w:tc>
              <w:tc>
                <w:tcPr>
                  <w:tcW w:w="806" w:type="pct"/>
                  <w:noWrap w:val="0"/>
                  <w:vAlign w:val="center"/>
                </w:tcPr>
                <w:p w14:paraId="4B3783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067" w:type="pct"/>
                  <w:noWrap w:val="0"/>
                  <w:vAlign w:val="center"/>
                </w:tcPr>
                <w:p w14:paraId="0B64C1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千克/吨-原料</w:t>
                  </w:r>
                </w:p>
              </w:tc>
              <w:tc>
                <w:tcPr>
                  <w:tcW w:w="1120" w:type="pct"/>
                  <w:noWrap w:val="0"/>
                  <w:vAlign w:val="center"/>
                </w:tcPr>
                <w:p w14:paraId="7B48A2B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20S</w:t>
                  </w:r>
                </w:p>
              </w:tc>
            </w:tr>
            <w:tr w14:paraId="22A341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64" w:hRule="atLeast"/>
              </w:trPr>
              <w:tc>
                <w:tcPr>
                  <w:tcW w:w="641" w:type="pct"/>
                  <w:vMerge w:val="continue"/>
                  <w:noWrap w:val="0"/>
                  <w:vAlign w:val="center"/>
                </w:tcPr>
                <w:p w14:paraId="24AE9B23">
                  <w:pPr>
                    <w:adjustRightInd w:val="0"/>
                    <w:snapToGrid w:val="0"/>
                    <w:jc w:val="center"/>
                    <w:rPr>
                      <w:rFonts w:hint="default" w:ascii="Times New Roman" w:hAnsi="Times New Roman" w:cs="Times New Roman"/>
                      <w:color w:val="auto"/>
                      <w:szCs w:val="21"/>
                    </w:rPr>
                  </w:pPr>
                </w:p>
              </w:tc>
              <w:tc>
                <w:tcPr>
                  <w:tcW w:w="655" w:type="pct"/>
                  <w:vMerge w:val="continue"/>
                  <w:noWrap w:val="0"/>
                  <w:vAlign w:val="center"/>
                </w:tcPr>
                <w:p w14:paraId="6FBF590D">
                  <w:pPr>
                    <w:adjustRightInd w:val="0"/>
                    <w:snapToGrid w:val="0"/>
                    <w:jc w:val="center"/>
                    <w:rPr>
                      <w:rFonts w:hint="default" w:ascii="Times New Roman" w:hAnsi="Times New Roman" w:cs="Times New Roman"/>
                      <w:color w:val="auto"/>
                      <w:szCs w:val="21"/>
                    </w:rPr>
                  </w:pPr>
                </w:p>
              </w:tc>
              <w:tc>
                <w:tcPr>
                  <w:tcW w:w="708" w:type="pct"/>
                  <w:vMerge w:val="continue"/>
                  <w:noWrap w:val="0"/>
                  <w:vAlign w:val="center"/>
                </w:tcPr>
                <w:p w14:paraId="2BCC9F53">
                  <w:pPr>
                    <w:adjustRightInd w:val="0"/>
                    <w:snapToGrid w:val="0"/>
                    <w:jc w:val="center"/>
                    <w:rPr>
                      <w:rFonts w:hint="default" w:ascii="Times New Roman" w:hAnsi="Times New Roman" w:cs="Times New Roman"/>
                      <w:color w:val="auto"/>
                      <w:szCs w:val="21"/>
                    </w:rPr>
                  </w:pPr>
                </w:p>
              </w:tc>
              <w:tc>
                <w:tcPr>
                  <w:tcW w:w="806" w:type="pct"/>
                  <w:noWrap w:val="0"/>
                  <w:vAlign w:val="center"/>
                </w:tcPr>
                <w:p w14:paraId="069EB78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c>
                <w:tcPr>
                  <w:tcW w:w="1067" w:type="pct"/>
                  <w:noWrap w:val="0"/>
                  <w:vAlign w:val="center"/>
                </w:tcPr>
                <w:p w14:paraId="01963C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千克/吨-原料</w:t>
                  </w:r>
                </w:p>
              </w:tc>
              <w:tc>
                <w:tcPr>
                  <w:tcW w:w="1120" w:type="pct"/>
                  <w:noWrap w:val="0"/>
                  <w:vAlign w:val="center"/>
                </w:tcPr>
                <w:p w14:paraId="2A68EE3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0.59</w:t>
                  </w:r>
                </w:p>
              </w:tc>
            </w:tr>
            <w:tr w14:paraId="69EBC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34" w:hRule="atLeast"/>
              </w:trPr>
              <w:tc>
                <w:tcPr>
                  <w:tcW w:w="5000" w:type="pct"/>
                  <w:gridSpan w:val="6"/>
                  <w:noWrap w:val="0"/>
                  <w:vAlign w:val="center"/>
                </w:tcPr>
                <w:p w14:paraId="388BCCB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备注：本</w:t>
                  </w:r>
                  <w:r>
                    <w:rPr>
                      <w:rFonts w:hint="eastAsia" w:ascii="Times New Roman" w:hAnsi="Times New Roman" w:cs="Times New Roman"/>
                      <w:color w:val="auto"/>
                      <w:szCs w:val="21"/>
                      <w:lang w:eastAsia="zh-CN"/>
                    </w:rPr>
                    <w:t>项目</w:t>
                  </w:r>
                  <w:r>
                    <w:rPr>
                      <w:rFonts w:hint="eastAsia" w:ascii="Times New Roman" w:hAnsi="Times New Roman" w:eastAsia="宋体" w:cs="Times New Roman"/>
                      <w:color w:val="auto"/>
                      <w:szCs w:val="21"/>
                      <w:lang w:eastAsia="zh-CN"/>
                    </w:rPr>
                    <w:t>醇基燃料主要为甲醇，本次</w:t>
                  </w:r>
                  <w:r>
                    <w:rPr>
                      <w:rFonts w:hint="default" w:ascii="Times New Roman" w:hAnsi="Times New Roman" w:cs="Times New Roman"/>
                      <w:color w:val="auto"/>
                      <w:szCs w:val="21"/>
                    </w:rPr>
                    <w:t>S取值为</w:t>
                  </w:r>
                  <w:r>
                    <w:rPr>
                      <w:rFonts w:hint="eastAsia" w:ascii="Times New Roman" w:hAnsi="Times New Roman" w:cs="Times New Roman"/>
                      <w:color w:val="auto"/>
                      <w:szCs w:val="21"/>
                      <w:lang w:val="en-US" w:eastAsia="zh-CN"/>
                    </w:rPr>
                    <w:t>0.005%</w:t>
                  </w:r>
                </w:p>
              </w:tc>
            </w:tr>
          </w:tbl>
          <w:p w14:paraId="2BF45EC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热风炉燃烧废气</w:t>
            </w:r>
            <w:r>
              <w:rPr>
                <w:rFonts w:hint="default" w:ascii="Times New Roman" w:hAnsi="Times New Roman" w:eastAsia="宋体" w:cs="Times New Roman"/>
                <w:color w:val="auto"/>
                <w:sz w:val="24"/>
              </w:rPr>
              <w:t>产排情况见表4-</w:t>
            </w:r>
            <w:r>
              <w:rPr>
                <w:rFonts w:hint="eastAsia" w:cs="Times New Roman"/>
                <w:color w:val="auto"/>
                <w:sz w:val="24"/>
                <w:lang w:val="en-US" w:eastAsia="zh-CN"/>
              </w:rPr>
              <w:t>4</w:t>
            </w:r>
            <w:r>
              <w:rPr>
                <w:rFonts w:hint="default" w:ascii="Times New Roman" w:hAnsi="Times New Roman" w:eastAsia="宋体" w:cs="Times New Roman"/>
                <w:color w:val="auto"/>
                <w:sz w:val="24"/>
              </w:rPr>
              <w:t>。</w:t>
            </w:r>
          </w:p>
          <w:p w14:paraId="74A0DB35">
            <w:pPr>
              <w:adjustRightInd w:val="0"/>
              <w:snapToGrid w:val="0"/>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热风炉燃烧废气产排情况一览表</w:t>
            </w:r>
          </w:p>
          <w:tbl>
            <w:tblPr>
              <w:tblStyle w:val="22"/>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738"/>
              <w:gridCol w:w="1009"/>
              <w:gridCol w:w="709"/>
              <w:gridCol w:w="631"/>
              <w:gridCol w:w="943"/>
              <w:gridCol w:w="957"/>
              <w:gridCol w:w="693"/>
              <w:gridCol w:w="928"/>
              <w:gridCol w:w="946"/>
              <w:gridCol w:w="697"/>
            </w:tblGrid>
            <w:tr w14:paraId="6CBDA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35" w:hRule="atLeast"/>
              </w:trPr>
              <w:tc>
                <w:tcPr>
                  <w:tcW w:w="447" w:type="pct"/>
                  <w:noWrap w:val="0"/>
                  <w:vAlign w:val="center"/>
                </w:tcPr>
                <w:p w14:paraId="243DDCB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611" w:type="pct"/>
                  <w:noWrap w:val="0"/>
                  <w:vAlign w:val="center"/>
                </w:tcPr>
                <w:p w14:paraId="3A8A951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烟气产生量（Nm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/a）</w:t>
                  </w:r>
                </w:p>
              </w:tc>
              <w:tc>
                <w:tcPr>
                  <w:tcW w:w="429" w:type="pct"/>
                  <w:noWrap w:val="0"/>
                  <w:vAlign w:val="center"/>
                </w:tcPr>
                <w:p w14:paraId="1B5638B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382" w:type="pct"/>
                  <w:noWrap w:val="0"/>
                  <w:vAlign w:val="center"/>
                </w:tcPr>
                <w:p w14:paraId="257C35B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产生量（t/a）</w:t>
                  </w:r>
                </w:p>
              </w:tc>
              <w:tc>
                <w:tcPr>
                  <w:tcW w:w="571" w:type="pct"/>
                  <w:noWrap w:val="0"/>
                  <w:vAlign w:val="center"/>
                </w:tcPr>
                <w:p w14:paraId="622EDFF6">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产生浓度（mg/m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579" w:type="pct"/>
                  <w:noWrap w:val="0"/>
                  <w:vAlign w:val="center"/>
                </w:tcPr>
                <w:p w14:paraId="5E04160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处理措施</w:t>
                  </w:r>
                </w:p>
              </w:tc>
              <w:tc>
                <w:tcPr>
                  <w:tcW w:w="419" w:type="pct"/>
                  <w:noWrap w:val="0"/>
                  <w:vAlign w:val="center"/>
                </w:tcPr>
                <w:p w14:paraId="29B64E4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排放量（t/a）</w:t>
                  </w:r>
                </w:p>
              </w:tc>
              <w:tc>
                <w:tcPr>
                  <w:tcW w:w="562" w:type="pct"/>
                  <w:noWrap w:val="0"/>
                  <w:vAlign w:val="center"/>
                </w:tcPr>
                <w:p w14:paraId="5FD9CA1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排放浓度（mg/m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573" w:type="pct"/>
                  <w:noWrap w:val="0"/>
                  <w:vAlign w:val="center"/>
                </w:tcPr>
                <w:p w14:paraId="32EF190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排放速率（kg/h）</w:t>
                  </w:r>
                </w:p>
              </w:tc>
              <w:tc>
                <w:tcPr>
                  <w:tcW w:w="422" w:type="pct"/>
                  <w:noWrap w:val="0"/>
                  <w:vAlign w:val="center"/>
                </w:tcPr>
                <w:p w14:paraId="4BB8976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排放形式</w:t>
                  </w:r>
                </w:p>
              </w:tc>
            </w:tr>
            <w:tr w14:paraId="31029C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6" w:hRule="atLeast"/>
              </w:trPr>
              <w:tc>
                <w:tcPr>
                  <w:tcW w:w="447" w:type="pct"/>
                  <w:vMerge w:val="restart"/>
                  <w:noWrap w:val="0"/>
                  <w:vAlign w:val="center"/>
                </w:tcPr>
                <w:p w14:paraId="74A0789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热风炉</w:t>
                  </w:r>
                </w:p>
              </w:tc>
              <w:tc>
                <w:tcPr>
                  <w:tcW w:w="611" w:type="pct"/>
                  <w:vMerge w:val="restart"/>
                  <w:noWrap w:val="0"/>
                  <w:vAlign w:val="center"/>
                </w:tcPr>
                <w:p w14:paraId="7F0863D9">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150</w:t>
                  </w:r>
                  <w:r>
                    <w:rPr>
                      <w:rFonts w:hint="default" w:ascii="Times New Roman" w:hAnsi="Times New Roman" w:cs="Times New Roman"/>
                      <w:color w:val="auto"/>
                      <w:szCs w:val="21"/>
                    </w:rPr>
                    <w:t>万</w:t>
                  </w:r>
                </w:p>
              </w:tc>
              <w:tc>
                <w:tcPr>
                  <w:tcW w:w="429" w:type="pct"/>
                  <w:noWrap w:val="0"/>
                  <w:vAlign w:val="center"/>
                </w:tcPr>
                <w:p w14:paraId="79D1FE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382" w:type="pct"/>
                  <w:noWrap w:val="0"/>
                  <w:vAlign w:val="center"/>
                </w:tcPr>
                <w:p w14:paraId="2BDE50E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9</w:t>
                  </w:r>
                </w:p>
              </w:tc>
              <w:tc>
                <w:tcPr>
                  <w:tcW w:w="571" w:type="pct"/>
                  <w:noWrap w:val="0"/>
                  <w:vAlign w:val="center"/>
                </w:tcPr>
                <w:p w14:paraId="357BC32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579" w:type="pct"/>
                  <w:vMerge w:val="restart"/>
                  <w:noWrap w:val="0"/>
                  <w:vAlign w:val="center"/>
                </w:tcPr>
                <w:p w14:paraId="34EA6F84">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低氮燃烧</w:t>
                  </w:r>
                  <w:r>
                    <w:rPr>
                      <w:rFonts w:hint="eastAsia" w:ascii="Times New Roman" w:hAnsi="Times New Roman" w:cs="Times New Roman"/>
                      <w:color w:val="auto"/>
                      <w:szCs w:val="21"/>
                      <w:lang w:eastAsia="zh-CN"/>
                    </w:rPr>
                    <w:t>器</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15</w:t>
                  </w:r>
                  <w:r>
                    <w:rPr>
                      <w:rFonts w:hint="default" w:ascii="Times New Roman" w:hAnsi="Times New Roman" w:cs="Times New Roman"/>
                      <w:color w:val="auto"/>
                      <w:szCs w:val="21"/>
                    </w:rPr>
                    <w:t>m高排气筒</w:t>
                  </w:r>
                </w:p>
              </w:tc>
              <w:tc>
                <w:tcPr>
                  <w:tcW w:w="661" w:type="dxa"/>
                  <w:noWrap w:val="0"/>
                  <w:vAlign w:val="center"/>
                </w:tcPr>
                <w:p w14:paraId="211B46FF">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886" w:type="dxa"/>
                  <w:noWrap w:val="0"/>
                  <w:vAlign w:val="center"/>
                </w:tcPr>
                <w:p w14:paraId="7E9B8F79">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46" w:type="dxa"/>
                  <w:noWrap w:val="0"/>
                  <w:vAlign w:val="center"/>
                </w:tcPr>
                <w:p w14:paraId="33787B37">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8</w:t>
                  </w:r>
                </w:p>
              </w:tc>
              <w:tc>
                <w:tcPr>
                  <w:tcW w:w="422" w:type="pct"/>
                  <w:vMerge w:val="restart"/>
                  <w:noWrap w:val="0"/>
                  <w:vAlign w:val="center"/>
                </w:tcPr>
                <w:p w14:paraId="2419FFF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r>
            <w:tr w14:paraId="4A530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67" w:hRule="atLeast"/>
              </w:trPr>
              <w:tc>
                <w:tcPr>
                  <w:tcW w:w="447" w:type="pct"/>
                  <w:vMerge w:val="continue"/>
                  <w:noWrap w:val="0"/>
                  <w:vAlign w:val="center"/>
                </w:tcPr>
                <w:p w14:paraId="1DD2581F">
                  <w:pPr>
                    <w:adjustRightInd w:val="0"/>
                    <w:snapToGrid w:val="0"/>
                    <w:jc w:val="center"/>
                    <w:rPr>
                      <w:rFonts w:hint="default" w:ascii="Times New Roman" w:hAnsi="Times New Roman" w:cs="Times New Roman"/>
                      <w:color w:val="auto"/>
                      <w:szCs w:val="21"/>
                    </w:rPr>
                  </w:pPr>
                </w:p>
              </w:tc>
              <w:tc>
                <w:tcPr>
                  <w:tcW w:w="611" w:type="pct"/>
                  <w:vMerge w:val="continue"/>
                  <w:noWrap w:val="0"/>
                  <w:vAlign w:val="center"/>
                </w:tcPr>
                <w:p w14:paraId="2DFBB22E">
                  <w:pPr>
                    <w:adjustRightInd w:val="0"/>
                    <w:snapToGrid w:val="0"/>
                    <w:jc w:val="center"/>
                    <w:rPr>
                      <w:rFonts w:hint="default" w:ascii="Times New Roman" w:hAnsi="Times New Roman" w:cs="Times New Roman"/>
                      <w:color w:val="auto"/>
                      <w:szCs w:val="21"/>
                    </w:rPr>
                  </w:pPr>
                </w:p>
              </w:tc>
              <w:tc>
                <w:tcPr>
                  <w:tcW w:w="429" w:type="pct"/>
                  <w:noWrap w:val="0"/>
                  <w:vAlign w:val="center"/>
                </w:tcPr>
                <w:p w14:paraId="420655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382" w:type="pct"/>
                  <w:noWrap w:val="0"/>
                  <w:vAlign w:val="center"/>
                </w:tcPr>
                <w:p w14:paraId="298ED7E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0.00</w:t>
                  </w:r>
                  <w:r>
                    <w:rPr>
                      <w:rFonts w:hint="eastAsia" w:cs="Times New Roman"/>
                      <w:color w:val="auto"/>
                      <w:szCs w:val="21"/>
                      <w:lang w:val="en-US" w:eastAsia="zh-CN"/>
                    </w:rPr>
                    <w:t>4</w:t>
                  </w:r>
                </w:p>
              </w:tc>
              <w:tc>
                <w:tcPr>
                  <w:tcW w:w="571" w:type="pct"/>
                  <w:noWrap w:val="0"/>
                  <w:vAlign w:val="center"/>
                </w:tcPr>
                <w:p w14:paraId="7731CD2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0.067</w:t>
                  </w:r>
                </w:p>
              </w:tc>
              <w:tc>
                <w:tcPr>
                  <w:tcW w:w="579" w:type="pct"/>
                  <w:vMerge w:val="continue"/>
                  <w:noWrap w:val="0"/>
                  <w:vAlign w:val="center"/>
                </w:tcPr>
                <w:p w14:paraId="03B6CE95">
                  <w:pPr>
                    <w:adjustRightInd w:val="0"/>
                    <w:snapToGrid w:val="0"/>
                    <w:jc w:val="center"/>
                    <w:rPr>
                      <w:rFonts w:hint="default" w:ascii="Times New Roman" w:hAnsi="Times New Roman" w:cs="Times New Roman"/>
                      <w:color w:val="auto"/>
                      <w:szCs w:val="21"/>
                    </w:rPr>
                  </w:pPr>
                </w:p>
              </w:tc>
              <w:tc>
                <w:tcPr>
                  <w:tcW w:w="661" w:type="dxa"/>
                  <w:noWrap w:val="0"/>
                  <w:vAlign w:val="center"/>
                </w:tcPr>
                <w:p w14:paraId="6A0E5C96">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886" w:type="dxa"/>
                  <w:noWrap w:val="0"/>
                  <w:vAlign w:val="center"/>
                </w:tcPr>
                <w:p w14:paraId="0E19D5AB">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r>
                    <w:rPr>
                      <w:rFonts w:hint="eastAsia" w:ascii="Times New Roman" w:hAnsi="Times New Roman" w:eastAsia="宋体" w:cs="Times New Roman"/>
                      <w:i w:val="0"/>
                      <w:iCs w:val="0"/>
                      <w:color w:val="000000"/>
                      <w:kern w:val="0"/>
                      <w:sz w:val="21"/>
                      <w:szCs w:val="21"/>
                      <w:u w:val="none"/>
                      <w:lang w:val="en-US" w:eastAsia="zh-CN" w:bidi="ar"/>
                    </w:rPr>
                    <w:t>7</w:t>
                  </w:r>
                </w:p>
              </w:tc>
              <w:tc>
                <w:tcPr>
                  <w:tcW w:w="946" w:type="dxa"/>
                  <w:noWrap w:val="0"/>
                  <w:vAlign w:val="center"/>
                </w:tcPr>
                <w:p w14:paraId="74B7E10C">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3</w:t>
                  </w:r>
                </w:p>
              </w:tc>
              <w:tc>
                <w:tcPr>
                  <w:tcW w:w="422" w:type="pct"/>
                  <w:vMerge w:val="continue"/>
                  <w:noWrap w:val="0"/>
                  <w:vAlign w:val="center"/>
                </w:tcPr>
                <w:p w14:paraId="63CEF9F8">
                  <w:pPr>
                    <w:adjustRightInd w:val="0"/>
                    <w:snapToGrid w:val="0"/>
                    <w:jc w:val="center"/>
                    <w:rPr>
                      <w:rFonts w:hint="default" w:ascii="Times New Roman" w:hAnsi="Times New Roman" w:cs="Times New Roman"/>
                      <w:color w:val="auto"/>
                      <w:szCs w:val="21"/>
                    </w:rPr>
                  </w:pPr>
                </w:p>
              </w:tc>
            </w:tr>
            <w:tr w14:paraId="31864C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4" w:hRule="atLeast"/>
              </w:trPr>
              <w:tc>
                <w:tcPr>
                  <w:tcW w:w="447" w:type="pct"/>
                  <w:vMerge w:val="continue"/>
                  <w:noWrap w:val="0"/>
                  <w:vAlign w:val="center"/>
                </w:tcPr>
                <w:p w14:paraId="50D69F56">
                  <w:pPr>
                    <w:adjustRightInd w:val="0"/>
                    <w:snapToGrid w:val="0"/>
                    <w:jc w:val="center"/>
                    <w:rPr>
                      <w:rFonts w:hint="default" w:ascii="Times New Roman" w:hAnsi="Times New Roman" w:cs="Times New Roman"/>
                      <w:color w:val="auto"/>
                      <w:szCs w:val="21"/>
                    </w:rPr>
                  </w:pPr>
                </w:p>
              </w:tc>
              <w:tc>
                <w:tcPr>
                  <w:tcW w:w="611" w:type="pct"/>
                  <w:vMerge w:val="continue"/>
                  <w:noWrap w:val="0"/>
                  <w:vAlign w:val="center"/>
                </w:tcPr>
                <w:p w14:paraId="006AA875">
                  <w:pPr>
                    <w:adjustRightInd w:val="0"/>
                    <w:snapToGrid w:val="0"/>
                    <w:jc w:val="center"/>
                    <w:rPr>
                      <w:rFonts w:hint="default" w:ascii="Times New Roman" w:hAnsi="Times New Roman" w:cs="Times New Roman"/>
                      <w:color w:val="auto"/>
                      <w:szCs w:val="21"/>
                    </w:rPr>
                  </w:pPr>
                </w:p>
              </w:tc>
              <w:tc>
                <w:tcPr>
                  <w:tcW w:w="429" w:type="pct"/>
                  <w:noWrap w:val="0"/>
                  <w:vAlign w:val="center"/>
                </w:tcPr>
                <w:p w14:paraId="4FD4B73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c>
                <w:tcPr>
                  <w:tcW w:w="382" w:type="pct"/>
                  <w:noWrap w:val="0"/>
                  <w:vAlign w:val="center"/>
                </w:tcPr>
                <w:p w14:paraId="2A84F7A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w:t>
                  </w:r>
                  <w:r>
                    <w:rPr>
                      <w:rFonts w:hint="eastAsia" w:cs="Times New Roman"/>
                      <w:color w:val="auto"/>
                      <w:szCs w:val="21"/>
                      <w:lang w:val="en-US" w:eastAsia="zh-CN"/>
                    </w:rPr>
                    <w:t>21</w:t>
                  </w:r>
                </w:p>
              </w:tc>
              <w:tc>
                <w:tcPr>
                  <w:tcW w:w="571" w:type="pct"/>
                  <w:noWrap w:val="0"/>
                  <w:vAlign w:val="center"/>
                </w:tcPr>
                <w:p w14:paraId="3954019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0.35</w:t>
                  </w:r>
                </w:p>
              </w:tc>
              <w:tc>
                <w:tcPr>
                  <w:tcW w:w="579" w:type="pct"/>
                  <w:vMerge w:val="continue"/>
                  <w:noWrap w:val="0"/>
                  <w:vAlign w:val="center"/>
                </w:tcPr>
                <w:p w14:paraId="4D2B2F82">
                  <w:pPr>
                    <w:adjustRightInd w:val="0"/>
                    <w:snapToGrid w:val="0"/>
                    <w:jc w:val="center"/>
                    <w:rPr>
                      <w:rFonts w:hint="default" w:ascii="Times New Roman" w:hAnsi="Times New Roman" w:cs="Times New Roman"/>
                      <w:color w:val="auto"/>
                      <w:szCs w:val="21"/>
                    </w:rPr>
                  </w:pPr>
                </w:p>
              </w:tc>
              <w:tc>
                <w:tcPr>
                  <w:tcW w:w="693" w:type="dxa"/>
                  <w:noWrap w:val="0"/>
                  <w:vAlign w:val="center"/>
                </w:tcPr>
                <w:p w14:paraId="7EDFD60E">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ascii="Times New Roman" w:hAnsi="Times New Roman" w:eastAsia="宋体" w:cs="Times New Roman"/>
                      <w:i w:val="0"/>
                      <w:iCs w:val="0"/>
                      <w:color w:val="000000"/>
                      <w:kern w:val="0"/>
                      <w:sz w:val="21"/>
                      <w:szCs w:val="21"/>
                      <w:u w:val="none"/>
                      <w:lang w:val="en-US" w:eastAsia="zh-CN" w:bidi="ar"/>
                    </w:rPr>
                    <w:t>1</w:t>
                  </w:r>
                </w:p>
              </w:tc>
              <w:tc>
                <w:tcPr>
                  <w:tcW w:w="928" w:type="dxa"/>
                  <w:noWrap w:val="0"/>
                  <w:vAlign w:val="center"/>
                </w:tcPr>
                <w:p w14:paraId="12CA0915">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0.175</w:t>
                  </w:r>
                </w:p>
              </w:tc>
              <w:tc>
                <w:tcPr>
                  <w:tcW w:w="946" w:type="dxa"/>
                  <w:noWrap w:val="0"/>
                  <w:vAlign w:val="center"/>
                </w:tcPr>
                <w:p w14:paraId="667A74A3">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9</w:t>
                  </w:r>
                </w:p>
              </w:tc>
              <w:tc>
                <w:tcPr>
                  <w:tcW w:w="422" w:type="pct"/>
                  <w:vMerge w:val="continue"/>
                  <w:noWrap w:val="0"/>
                  <w:vAlign w:val="center"/>
                </w:tcPr>
                <w:p w14:paraId="1CDCE015">
                  <w:pPr>
                    <w:adjustRightInd w:val="0"/>
                    <w:snapToGrid w:val="0"/>
                    <w:jc w:val="center"/>
                    <w:rPr>
                      <w:rFonts w:hint="default" w:ascii="Times New Roman" w:hAnsi="Times New Roman" w:cs="Times New Roman"/>
                      <w:color w:val="auto"/>
                      <w:szCs w:val="21"/>
                    </w:rPr>
                  </w:pPr>
                </w:p>
              </w:tc>
            </w:tr>
          </w:tbl>
          <w:p w14:paraId="06CAA4CE">
            <w:pPr>
              <w:pStyle w:val="8"/>
              <w:numPr>
                <w:ilvl w:val="0"/>
                <w:numId w:val="8"/>
              </w:numPr>
              <w:adjustRightInd w:val="0"/>
              <w:spacing w:before="0" w:after="0" w:line="360" w:lineRule="auto"/>
              <w:ind w:left="105" w:leftChars="50" w:right="105" w:rightChars="50" w:firstLine="480" w:firstLineChars="200"/>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eastAsia" w:cs="Times New Roman"/>
                <w:color w:val="000000" w:themeColor="text1"/>
                <w:spacing w:val="0"/>
                <w:position w:val="0"/>
                <w:sz w:val="24"/>
                <w:szCs w:val="24"/>
                <w:highlight w:val="none"/>
                <w:lang w:val="en-US" w:eastAsia="zh-CN"/>
                <w14:textFill>
                  <w14:solidFill>
                    <w14:schemeClr w14:val="tx1"/>
                  </w14:solidFill>
                </w14:textFill>
              </w:rPr>
              <w:t>甲醇</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储罐大小呼吸废气</w:t>
            </w:r>
          </w:p>
          <w:p w14:paraId="3B966A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Ⅰ</w:t>
            </w:r>
            <w:r>
              <w:rPr>
                <w:rFonts w:hint="eastAsia" w:cs="Times New Roman"/>
                <w:b w:val="0"/>
                <w:bCs w:val="0"/>
                <w:color w:val="auto"/>
                <w:kern w:val="0"/>
                <w:sz w:val="24"/>
                <w:szCs w:val="24"/>
                <w:lang w:val="en-US" w:eastAsia="zh-CN"/>
              </w:rPr>
              <w:t>、储罐大呼吸废气</w:t>
            </w:r>
          </w:p>
          <w:p w14:paraId="6F8B5F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rPr>
              <w:t>储罐大呼吸损失是指储罐进料时的呼吸。储罐进料时，由于液面逐渐升高，气体空间逐渐减小，罐内压力增大，当压力超过呼吸阀控制压力时，一定浓度的物料蒸气开始从呼吸阀呼出，直到储罐停止进料</w:t>
            </w:r>
            <w:r>
              <w:rPr>
                <w:rFonts w:hint="eastAsia" w:ascii="Times New Roman" w:hAnsi="Times New Roman" w:eastAsia="宋体" w:cs="Times New Roman"/>
                <w:b w:val="0"/>
                <w:bCs w:val="0"/>
                <w:color w:val="auto"/>
                <w:sz w:val="24"/>
                <w:lang w:eastAsia="zh-CN"/>
              </w:rPr>
              <w:t>。</w:t>
            </w:r>
          </w:p>
          <w:p w14:paraId="5C92F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Ⅱ</w:t>
            </w:r>
            <w:r>
              <w:rPr>
                <w:rFonts w:hint="eastAsia" w:cs="Times New Roman"/>
                <w:b w:val="0"/>
                <w:bCs w:val="0"/>
                <w:color w:val="auto"/>
                <w:kern w:val="0"/>
                <w:sz w:val="24"/>
                <w:szCs w:val="24"/>
                <w:lang w:val="en-US" w:eastAsia="zh-CN"/>
              </w:rPr>
              <w:t>、储罐小呼吸废气</w:t>
            </w:r>
          </w:p>
          <w:p w14:paraId="5774B0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储罐在没有收发作业的情况下，随着外界气温、压力在一天内的升降周期变化，罐内气体空间温度、物料蒸发速度、物料浓度和蒸汽压力也随之变化。这种排出蒸气和吸入空气的过程造成的油气损失，叫小呼吸损失。小呼吸排放是由于温度和大气压力的变化引起蒸气的膨胀和收缩而产生的蒸气排出，它出现在罐内液面无任何变化的情况，是非人为干扰的自然排放方式。</w:t>
            </w:r>
          </w:p>
          <w:p w14:paraId="45294F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参考《石化行业VOCs污染源排查工作指南》、《排污许可证申请与核发技术规范石化工业》（HJ853-2017）和《工业污染源调查与研究》中的公式计算有机液体储存废气产生量。储罐的总损耗是静置损耗与工作损耗的总和。</w:t>
            </w:r>
          </w:p>
          <w:p w14:paraId="7D1FAC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大呼吸排放采用下式估算其污染物的排放量：</w:t>
            </w:r>
          </w:p>
          <w:p w14:paraId="174E5E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b w:val="0"/>
                <w:bCs w:val="0"/>
                <w:color w:val="auto"/>
                <w:kern w:val="0"/>
                <w:sz w:val="24"/>
                <w:szCs w:val="24"/>
                <w:lang w:val="en-US" w:eastAsia="zh-CN"/>
              </w:rPr>
            </w:pPr>
            <w:r>
              <w:rPr>
                <w:b w:val="0"/>
                <w:bCs w:val="0"/>
              </w:rPr>
              <w:drawing>
                <wp:inline distT="0" distB="0" distL="114300" distR="114300">
                  <wp:extent cx="2308860" cy="170815"/>
                  <wp:effectExtent l="0" t="0" r="15240" b="63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5"/>
                          <a:stretch>
                            <a:fillRect/>
                          </a:stretch>
                        </pic:blipFill>
                        <pic:spPr>
                          <a:xfrm>
                            <a:off x="0" y="0"/>
                            <a:ext cx="2308860" cy="170815"/>
                          </a:xfrm>
                          <a:prstGeom prst="rect">
                            <a:avLst/>
                          </a:prstGeom>
                          <a:noFill/>
                          <a:ln>
                            <a:noFill/>
                          </a:ln>
                        </pic:spPr>
                      </pic:pic>
                    </a:graphicData>
                  </a:graphic>
                </wp:inline>
              </w:drawing>
            </w:r>
          </w:p>
          <w:p w14:paraId="26BA4D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式中：Lw：固定顶罐的大呼吸损失（kg/m</w:t>
            </w:r>
            <w:r>
              <w:rPr>
                <w:rFonts w:hint="eastAsia" w:ascii="Times New Roman" w:hAnsi="Times New Roman" w:eastAsia="宋体" w:cs="Times New Roman"/>
                <w:b w:val="0"/>
                <w:bCs w:val="0"/>
                <w:color w:val="auto"/>
                <w:sz w:val="24"/>
                <w:vertAlign w:val="superscript"/>
              </w:rPr>
              <w:t>3</w:t>
            </w:r>
            <w:r>
              <w:rPr>
                <w:rFonts w:hint="eastAsia" w:ascii="Times New Roman" w:hAnsi="Times New Roman" w:eastAsia="宋体" w:cs="Times New Roman"/>
                <w:b w:val="0"/>
                <w:bCs w:val="0"/>
                <w:color w:val="auto"/>
                <w:sz w:val="24"/>
              </w:rPr>
              <w:t>投入量）；</w:t>
            </w:r>
          </w:p>
          <w:p w14:paraId="61BC8D44">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rPr>
              <w:t>M：储罐内</w:t>
            </w:r>
            <w:r>
              <w:rPr>
                <w:rFonts w:hint="eastAsia" w:ascii="Times New Roman" w:hAnsi="Times New Roman" w:eastAsia="宋体" w:cs="Times New Roman"/>
                <w:b w:val="0"/>
                <w:bCs w:val="0"/>
                <w:color w:val="auto"/>
                <w:sz w:val="24"/>
                <w:lang w:eastAsia="zh-CN"/>
              </w:rPr>
              <w:t>蒸汽</w:t>
            </w:r>
            <w:r>
              <w:rPr>
                <w:rFonts w:hint="eastAsia" w:ascii="Times New Roman" w:hAnsi="Times New Roman" w:eastAsia="宋体" w:cs="Times New Roman"/>
                <w:b w:val="0"/>
                <w:bCs w:val="0"/>
                <w:color w:val="auto"/>
                <w:sz w:val="24"/>
              </w:rPr>
              <w:t>的分子量；</w:t>
            </w:r>
          </w:p>
          <w:p w14:paraId="3F421724">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b w:val="0"/>
                <w:bCs w:val="0"/>
                <w:color w:val="auto"/>
                <w:sz w:val="24"/>
                <w:lang w:eastAsia="zh-CN"/>
              </w:rPr>
            </w:pPr>
            <w:r>
              <w:rPr>
                <w:rFonts w:hint="eastAsia" w:ascii="Times New Roman" w:hAnsi="Times New Roman" w:eastAsia="宋体" w:cs="Times New Roman"/>
                <w:b w:val="0"/>
                <w:bCs w:val="0"/>
                <w:color w:val="auto"/>
                <w:sz w:val="24"/>
              </w:rPr>
              <w:t>P：在大量液体状态下，真实的蒸气压力</w:t>
            </w:r>
            <w:r>
              <w:rPr>
                <w:rFonts w:hint="eastAsia" w:ascii="Times New Roman" w:hAnsi="Times New Roman" w:eastAsia="宋体" w:cs="Times New Roman"/>
                <w:b w:val="0"/>
                <w:bCs w:val="0"/>
                <w:color w:val="auto"/>
                <w:sz w:val="24"/>
                <w:lang w:eastAsia="zh-CN"/>
              </w:rPr>
              <w:t>；</w:t>
            </w:r>
          </w:p>
          <w:p w14:paraId="2ACB3D6C">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rPr>
              <w:t>K</w:t>
            </w:r>
            <w:r>
              <w:rPr>
                <w:rFonts w:hint="eastAsia" w:ascii="Times New Roman" w:hAnsi="Times New Roman" w:eastAsia="宋体" w:cs="Times New Roman"/>
                <w:b w:val="0"/>
                <w:bCs w:val="0"/>
                <w:color w:val="auto"/>
                <w:sz w:val="24"/>
                <w:vertAlign w:val="subscript"/>
              </w:rPr>
              <w:t>N</w:t>
            </w:r>
            <w:r>
              <w:rPr>
                <w:rFonts w:hint="eastAsia" w:ascii="Times New Roman" w:hAnsi="Times New Roman" w:eastAsia="宋体" w:cs="Times New Roman"/>
                <w:b w:val="0"/>
                <w:bCs w:val="0"/>
                <w:color w:val="auto"/>
                <w:sz w:val="24"/>
              </w:rPr>
              <w:t>：周转因子（无量纲），取值按年周转次数（K）确定，K&lt;36，K</w:t>
            </w:r>
            <w:r>
              <w:rPr>
                <w:rFonts w:hint="eastAsia" w:ascii="Times New Roman" w:hAnsi="Times New Roman" w:eastAsia="宋体" w:cs="Times New Roman"/>
                <w:b w:val="0"/>
                <w:bCs w:val="0"/>
                <w:color w:val="auto"/>
                <w:sz w:val="24"/>
                <w:vertAlign w:val="subscript"/>
              </w:rPr>
              <w:t>N</w:t>
            </w:r>
            <w:r>
              <w:rPr>
                <w:rFonts w:hint="eastAsia" w:ascii="Times New Roman" w:hAnsi="Times New Roman" w:eastAsia="宋体" w:cs="Times New Roman"/>
                <w:b w:val="0"/>
                <w:bCs w:val="0"/>
                <w:color w:val="auto"/>
                <w:sz w:val="24"/>
              </w:rPr>
              <w:t>=1；36&lt;K≤220，K</w:t>
            </w:r>
            <w:r>
              <w:rPr>
                <w:rFonts w:hint="eastAsia" w:ascii="Times New Roman" w:hAnsi="Times New Roman" w:eastAsia="宋体" w:cs="Times New Roman"/>
                <w:b w:val="0"/>
                <w:bCs w:val="0"/>
                <w:color w:val="auto"/>
                <w:sz w:val="24"/>
                <w:vertAlign w:val="subscript"/>
              </w:rPr>
              <w:t>N</w:t>
            </w:r>
            <w:r>
              <w:rPr>
                <w:rFonts w:hint="eastAsia" w:ascii="Times New Roman" w:hAnsi="Times New Roman" w:eastAsia="宋体" w:cs="Times New Roman"/>
                <w:b w:val="0"/>
                <w:bCs w:val="0"/>
                <w:color w:val="auto"/>
                <w:sz w:val="24"/>
              </w:rPr>
              <w:t>=11.467×K-0.7026；k&gt;220，K</w:t>
            </w:r>
            <w:r>
              <w:rPr>
                <w:rFonts w:hint="eastAsia" w:ascii="Times New Roman" w:hAnsi="Times New Roman" w:eastAsia="宋体" w:cs="Times New Roman"/>
                <w:b w:val="0"/>
                <w:bCs w:val="0"/>
                <w:color w:val="auto"/>
                <w:sz w:val="24"/>
                <w:vertAlign w:val="subscript"/>
              </w:rPr>
              <w:t>N</w:t>
            </w:r>
            <w:r>
              <w:rPr>
                <w:rFonts w:hint="eastAsia" w:ascii="Times New Roman" w:hAnsi="Times New Roman" w:eastAsia="宋体" w:cs="Times New Roman"/>
                <w:b w:val="0"/>
                <w:bCs w:val="0"/>
                <w:color w:val="auto"/>
                <w:sz w:val="24"/>
              </w:rPr>
              <w:t>=0.26；</w:t>
            </w:r>
          </w:p>
          <w:p w14:paraId="6BDDA288">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rPr>
              <w:t>K</w:t>
            </w:r>
            <w:r>
              <w:rPr>
                <w:rFonts w:hint="eastAsia" w:ascii="Times New Roman" w:hAnsi="Times New Roman" w:eastAsia="宋体" w:cs="Times New Roman"/>
                <w:b w:val="0"/>
                <w:bCs w:val="0"/>
                <w:color w:val="auto"/>
                <w:sz w:val="24"/>
                <w:vertAlign w:val="subscript"/>
              </w:rPr>
              <w:t>C</w:t>
            </w:r>
            <w:r>
              <w:rPr>
                <w:rFonts w:hint="eastAsia" w:ascii="Times New Roman" w:hAnsi="Times New Roman" w:eastAsia="宋体" w:cs="Times New Roman"/>
                <w:b w:val="0"/>
                <w:bCs w:val="0"/>
                <w:color w:val="auto"/>
                <w:sz w:val="24"/>
              </w:rPr>
              <w:t>：产品因子（石油原油取0.65，其他液体取1.0）。</w:t>
            </w:r>
          </w:p>
          <w:p w14:paraId="3CD664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小</w:t>
            </w:r>
            <w:r>
              <w:rPr>
                <w:rFonts w:hint="eastAsia" w:ascii="Times New Roman" w:hAnsi="Times New Roman" w:eastAsia="宋体" w:cs="Times New Roman"/>
                <w:b/>
                <w:bCs/>
                <w:color w:val="auto"/>
                <w:sz w:val="24"/>
              </w:rPr>
              <w:t>呼吸排放采用下式估算其污染物的排放量：</w:t>
            </w:r>
          </w:p>
          <w:p w14:paraId="192F69AF">
            <w:pPr>
              <w:spacing w:line="360" w:lineRule="auto"/>
              <w:jc w:val="center"/>
              <w:rPr>
                <w:rFonts w:hint="default" w:ascii="Times New Roman" w:hAnsi="Times New Roman" w:eastAsia="宋体" w:cs="Times New Roman"/>
                <w:b/>
                <w:bCs/>
                <w:color w:val="auto"/>
                <w:sz w:val="24"/>
              </w:rPr>
            </w:pPr>
            <w:r>
              <w:drawing>
                <wp:inline distT="0" distB="0" distL="114300" distR="114300">
                  <wp:extent cx="5109210" cy="268605"/>
                  <wp:effectExtent l="0" t="0" r="15240" b="1714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6"/>
                          <a:stretch>
                            <a:fillRect/>
                          </a:stretch>
                        </pic:blipFill>
                        <pic:spPr>
                          <a:xfrm>
                            <a:off x="0" y="0"/>
                            <a:ext cx="5109210" cy="268605"/>
                          </a:xfrm>
                          <a:prstGeom prst="rect">
                            <a:avLst/>
                          </a:prstGeom>
                          <a:noFill/>
                          <a:ln>
                            <a:noFill/>
                          </a:ln>
                        </pic:spPr>
                      </pic:pic>
                    </a:graphicData>
                  </a:graphic>
                </wp:inline>
              </w:drawing>
            </w:r>
          </w:p>
          <w:p w14:paraId="7762FD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：固定顶罐的呼吸排放量（kg/a）；</w:t>
            </w:r>
          </w:p>
          <w:p w14:paraId="33407747">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M：储罐内蒸气的分子量</w:t>
            </w:r>
          </w:p>
          <w:p w14:paraId="38762087">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P：在大量液体状态下，真实的蒸气压力（Pa）；</w:t>
            </w:r>
          </w:p>
          <w:p w14:paraId="190D229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D：罐的直径（m）；</w:t>
            </w:r>
          </w:p>
          <w:p w14:paraId="7C20FE2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H：平均蒸气空间高度（m）；</w:t>
            </w:r>
          </w:p>
          <w:p w14:paraId="10F23650">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ΔT：一天之内的平均温度差（℃）；</w:t>
            </w:r>
          </w:p>
          <w:p w14:paraId="6F842AF7">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F</w:t>
            </w:r>
            <w:r>
              <w:rPr>
                <w:rFonts w:hint="default" w:ascii="Times New Roman" w:hAnsi="Times New Roman" w:eastAsia="宋体" w:cs="Times New Roman"/>
                <w:color w:val="auto"/>
                <w:sz w:val="24"/>
                <w:vertAlign w:val="subscript"/>
              </w:rPr>
              <w:t>P</w:t>
            </w:r>
            <w:r>
              <w:rPr>
                <w:rFonts w:hint="default" w:ascii="Times New Roman" w:hAnsi="Times New Roman" w:eastAsia="宋体" w:cs="Times New Roman"/>
                <w:color w:val="auto"/>
                <w:sz w:val="24"/>
              </w:rPr>
              <w:t>：涂层因子（无量纲），根据油漆状况取值在1-1.5 之间；</w:t>
            </w:r>
          </w:p>
          <w:p w14:paraId="4EFD1AAF">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C：用于小直径罐的调节因子（无量纲）；直径在0-9m之间，C=1-0.0123（D-9）</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；罐径大于9m的C=1；</w:t>
            </w:r>
          </w:p>
          <w:p w14:paraId="38449B08">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Kc：产品因子（石油原油取0.65，其他液体取1.0）。</w:t>
            </w:r>
          </w:p>
          <w:p w14:paraId="40A2E395">
            <w:pPr>
              <w:spacing w:line="36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醇基燃料储罐参数一览表</w:t>
            </w:r>
          </w:p>
          <w:tbl>
            <w:tblPr>
              <w:tblStyle w:val="22"/>
              <w:tblW w:w="833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07"/>
              <w:gridCol w:w="783"/>
              <w:gridCol w:w="1168"/>
              <w:gridCol w:w="725"/>
              <w:gridCol w:w="513"/>
              <w:gridCol w:w="848"/>
              <w:gridCol w:w="471"/>
              <w:gridCol w:w="557"/>
              <w:gridCol w:w="521"/>
              <w:gridCol w:w="502"/>
              <w:gridCol w:w="519"/>
              <w:gridCol w:w="519"/>
            </w:tblGrid>
            <w:tr w14:paraId="52F5D3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93" w:hRule="atLeast"/>
              </w:trPr>
              <w:tc>
                <w:tcPr>
                  <w:tcW w:w="724" w:type="pct"/>
                  <w:noWrap w:val="0"/>
                  <w:vAlign w:val="center"/>
                </w:tcPr>
                <w:p w14:paraId="50F55B43">
                  <w:pPr>
                    <w:adjustRightInd w:val="0"/>
                    <w:snapToGrid w:val="0"/>
                    <w:jc w:val="center"/>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物质名称</w:t>
                  </w:r>
                </w:p>
              </w:tc>
              <w:tc>
                <w:tcPr>
                  <w:tcW w:w="469" w:type="pct"/>
                  <w:noWrap w:val="0"/>
                  <w:vAlign w:val="center"/>
                </w:tcPr>
                <w:p w14:paraId="772C9021">
                  <w:pPr>
                    <w:adjustRightInd w:val="0"/>
                    <w:snapToGrid w:val="0"/>
                    <w:jc w:val="center"/>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数量</w:t>
                  </w:r>
                </w:p>
              </w:tc>
              <w:tc>
                <w:tcPr>
                  <w:tcW w:w="700" w:type="pct"/>
                  <w:noWrap w:val="0"/>
                  <w:vAlign w:val="center"/>
                </w:tcPr>
                <w:p w14:paraId="3F5EDE81">
                  <w:pPr>
                    <w:adjustRightInd w:val="0"/>
                    <w:snapToGrid w:val="0"/>
                    <w:jc w:val="center"/>
                    <w:rPr>
                      <w:rFonts w:hint="default"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规格（m）</w:t>
                  </w:r>
                </w:p>
              </w:tc>
              <w:tc>
                <w:tcPr>
                  <w:tcW w:w="435" w:type="pct"/>
                  <w:noWrap w:val="0"/>
                  <w:vAlign w:val="center"/>
                </w:tcPr>
                <w:p w14:paraId="0983FC9A">
                  <w:pPr>
                    <w:adjustRightInd w:val="0"/>
                    <w:snapToGrid w:val="0"/>
                    <w:jc w:val="center"/>
                    <w:rPr>
                      <w:rFonts w:hint="default"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形式</w:t>
                  </w:r>
                </w:p>
              </w:tc>
              <w:tc>
                <w:tcPr>
                  <w:tcW w:w="307" w:type="pct"/>
                  <w:noWrap w:val="0"/>
                  <w:vAlign w:val="center"/>
                </w:tcPr>
                <w:p w14:paraId="25FAB3BB">
                  <w:pPr>
                    <w:adjustRightInd w:val="0"/>
                    <w:snapToGrid w:val="0"/>
                    <w:jc w:val="center"/>
                    <w:rPr>
                      <w:rFonts w:hint="default"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M</w:t>
                  </w:r>
                </w:p>
              </w:tc>
              <w:tc>
                <w:tcPr>
                  <w:tcW w:w="508" w:type="pct"/>
                  <w:tcBorders>
                    <w:right w:val="single" w:color="auto" w:sz="4" w:space="0"/>
                  </w:tcBorders>
                  <w:noWrap w:val="0"/>
                  <w:vAlign w:val="center"/>
                </w:tcPr>
                <w:p w14:paraId="5AD7D9A3">
                  <w:pPr>
                    <w:adjustRightInd w:val="0"/>
                    <w:snapToGrid w:val="0"/>
                    <w:jc w:val="center"/>
                    <w:rPr>
                      <w:rFonts w:hint="default"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P</w:t>
                  </w:r>
                </w:p>
              </w:tc>
              <w:tc>
                <w:tcPr>
                  <w:tcW w:w="282" w:type="pct"/>
                  <w:tcBorders>
                    <w:left w:val="single" w:color="auto" w:sz="4" w:space="0"/>
                  </w:tcBorders>
                  <w:noWrap w:val="0"/>
                  <w:vAlign w:val="center"/>
                </w:tcPr>
                <w:p w14:paraId="696C5DFC">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Cs w:val="21"/>
                      <w:lang w:eastAsia="zh-CN"/>
                    </w:rPr>
                    <w:t>K</w:t>
                  </w:r>
                  <w:r>
                    <w:rPr>
                      <w:rFonts w:hint="eastAsia" w:ascii="Times New Roman" w:hAnsi="Times New Roman" w:eastAsia="宋体" w:cs="Times New Roman"/>
                      <w:b/>
                      <w:bCs/>
                      <w:color w:val="auto"/>
                      <w:szCs w:val="21"/>
                      <w:vertAlign w:val="subscript"/>
                      <w:lang w:eastAsia="zh-CN"/>
                    </w:rPr>
                    <w:t>N</w:t>
                  </w:r>
                </w:p>
              </w:tc>
              <w:tc>
                <w:tcPr>
                  <w:tcW w:w="334" w:type="pct"/>
                  <w:tcBorders>
                    <w:left w:val="single" w:color="auto" w:sz="4" w:space="0"/>
                  </w:tcBorders>
                  <w:noWrap w:val="0"/>
                  <w:vAlign w:val="center"/>
                </w:tcPr>
                <w:p w14:paraId="0F55188C">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Cs w:val="21"/>
                      <w:lang w:eastAsia="zh-CN"/>
                    </w:rPr>
                    <w:t>K</w:t>
                  </w:r>
                  <w:r>
                    <w:rPr>
                      <w:rFonts w:hint="eastAsia" w:ascii="Times New Roman" w:hAnsi="Times New Roman" w:eastAsia="宋体" w:cs="Times New Roman"/>
                      <w:b/>
                      <w:bCs/>
                      <w:color w:val="auto"/>
                      <w:szCs w:val="21"/>
                      <w:vertAlign w:val="subscript"/>
                      <w:lang w:eastAsia="zh-CN"/>
                    </w:rPr>
                    <w:t>C</w:t>
                  </w:r>
                </w:p>
              </w:tc>
              <w:tc>
                <w:tcPr>
                  <w:tcW w:w="312" w:type="pct"/>
                  <w:tcBorders>
                    <w:left w:val="single" w:color="auto" w:sz="4" w:space="0"/>
                  </w:tcBorders>
                  <w:noWrap w:val="0"/>
                  <w:vAlign w:val="center"/>
                </w:tcPr>
                <w:p w14:paraId="71E07414">
                  <w:pPr>
                    <w:adjustRightInd w:val="0"/>
                    <w:snapToGrid w:val="0"/>
                    <w:jc w:val="center"/>
                    <w:rPr>
                      <w:rFonts w:hint="eastAsia"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H</w:t>
                  </w:r>
                </w:p>
              </w:tc>
              <w:tc>
                <w:tcPr>
                  <w:tcW w:w="301" w:type="pct"/>
                  <w:tcBorders>
                    <w:left w:val="single" w:color="auto" w:sz="4" w:space="0"/>
                  </w:tcBorders>
                  <w:noWrap w:val="0"/>
                  <w:vAlign w:val="center"/>
                </w:tcPr>
                <w:p w14:paraId="6434FE43">
                  <w:pPr>
                    <w:adjustRightInd w:val="0"/>
                    <w:snapToGrid w:val="0"/>
                    <w:jc w:val="center"/>
                    <w:rPr>
                      <w:rFonts w:hint="eastAsia"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ΔT</w:t>
                  </w:r>
                </w:p>
              </w:tc>
              <w:tc>
                <w:tcPr>
                  <w:tcW w:w="311" w:type="pct"/>
                  <w:tcBorders>
                    <w:left w:val="single" w:color="auto" w:sz="4" w:space="0"/>
                  </w:tcBorders>
                  <w:noWrap w:val="0"/>
                  <w:vAlign w:val="center"/>
                </w:tcPr>
                <w:p w14:paraId="364945AF">
                  <w:pPr>
                    <w:adjustRightInd w:val="0"/>
                    <w:snapToGrid w:val="0"/>
                    <w:jc w:val="center"/>
                    <w:rPr>
                      <w:rFonts w:hint="eastAsia"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F</w:t>
                  </w:r>
                  <w:r>
                    <w:rPr>
                      <w:rFonts w:hint="default" w:ascii="Times New Roman" w:hAnsi="Times New Roman" w:eastAsia="宋体" w:cs="Times New Roman"/>
                      <w:b/>
                      <w:bCs/>
                      <w:color w:val="auto"/>
                      <w:sz w:val="24"/>
                      <w:vertAlign w:val="subscript"/>
                    </w:rPr>
                    <w:t>P</w:t>
                  </w:r>
                </w:p>
              </w:tc>
              <w:tc>
                <w:tcPr>
                  <w:tcW w:w="311" w:type="pct"/>
                  <w:tcBorders>
                    <w:left w:val="single" w:color="auto" w:sz="4" w:space="0"/>
                  </w:tcBorders>
                  <w:noWrap w:val="0"/>
                  <w:vAlign w:val="center"/>
                </w:tcPr>
                <w:p w14:paraId="051A5C65">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C</w:t>
                  </w:r>
                </w:p>
              </w:tc>
            </w:tr>
            <w:tr w14:paraId="224B2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0" w:hRule="atLeast"/>
              </w:trPr>
              <w:tc>
                <w:tcPr>
                  <w:tcW w:w="724" w:type="pct"/>
                  <w:noWrap w:val="0"/>
                  <w:vAlign w:val="center"/>
                </w:tcPr>
                <w:p w14:paraId="16EC8948">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醇基燃料</w:t>
                  </w:r>
                </w:p>
                <w:p w14:paraId="4ED6F40E">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（甲醇）</w:t>
                  </w:r>
                </w:p>
              </w:tc>
              <w:tc>
                <w:tcPr>
                  <w:tcW w:w="469" w:type="pct"/>
                  <w:noWrap w:val="0"/>
                  <w:vAlign w:val="center"/>
                </w:tcPr>
                <w:p w14:paraId="0D28C963">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1个</w:t>
                  </w:r>
                </w:p>
              </w:tc>
              <w:tc>
                <w:tcPr>
                  <w:tcW w:w="700" w:type="pct"/>
                  <w:noWrap w:val="0"/>
                  <w:vAlign w:val="center"/>
                </w:tcPr>
                <w:p w14:paraId="6DE35B57">
                  <w:pPr>
                    <w:adjustRightInd w:val="0"/>
                    <w:snapToGrid w:val="0"/>
                    <w:jc w:val="center"/>
                    <w:rPr>
                      <w:rFonts w:hint="default" w:ascii="Times New Roman" w:hAnsi="Times New Roman" w:cs="Times New Roman"/>
                      <w:b w:val="0"/>
                      <w:bCs w:val="0"/>
                      <w:color w:val="auto"/>
                      <w:szCs w:val="21"/>
                    </w:rPr>
                  </w:pPr>
                  <w:r>
                    <w:rPr>
                      <w:rFonts w:hint="eastAsia" w:ascii="TimesNewRomanPSMT" w:hAnsi="TimesNewRomanPSMT" w:eastAsia="TimesNewRomanPSMT"/>
                      <w:b w:val="0"/>
                      <w:bCs w:val="0"/>
                      <w:sz w:val="21"/>
                      <w:szCs w:val="24"/>
                    </w:rPr>
                    <w:t>Φ</w:t>
                  </w:r>
                  <w:r>
                    <w:rPr>
                      <w:rFonts w:hint="eastAsia" w:ascii="TimesNewRomanPSMT" w:hAnsi="TimesNewRomanPSMT"/>
                      <w:b w:val="0"/>
                      <w:bCs w:val="0"/>
                      <w:sz w:val="21"/>
                      <w:szCs w:val="24"/>
                      <w:lang w:val="en-US" w:eastAsia="zh-CN"/>
                    </w:rPr>
                    <w:t>1</w:t>
                  </w:r>
                  <w:r>
                    <w:rPr>
                      <w:rFonts w:hint="eastAsia" w:ascii="TimesNewRomanPSMT" w:hAnsi="TimesNewRomanPSMT" w:eastAsia="TimesNewRomanPSMT"/>
                      <w:b w:val="0"/>
                      <w:bCs w:val="0"/>
                      <w:sz w:val="21"/>
                      <w:szCs w:val="24"/>
                    </w:rPr>
                    <w:t>m×</w:t>
                  </w:r>
                  <w:r>
                    <w:rPr>
                      <w:rFonts w:hint="eastAsia" w:ascii="TimesNewRomanPSMT" w:hAnsi="TimesNewRomanPSMT"/>
                      <w:b w:val="0"/>
                      <w:bCs w:val="0"/>
                      <w:sz w:val="21"/>
                      <w:szCs w:val="24"/>
                      <w:lang w:val="en-US" w:eastAsia="zh-CN"/>
                    </w:rPr>
                    <w:t>1.6</w:t>
                  </w:r>
                  <w:r>
                    <w:rPr>
                      <w:rFonts w:hint="eastAsia" w:ascii="TimesNewRomanPSMT" w:hAnsi="TimesNewRomanPSMT" w:eastAsia="TimesNewRomanPSMT"/>
                      <w:b w:val="0"/>
                      <w:bCs w:val="0"/>
                      <w:sz w:val="21"/>
                      <w:szCs w:val="24"/>
                    </w:rPr>
                    <w:t>m</w:t>
                  </w:r>
                </w:p>
              </w:tc>
              <w:tc>
                <w:tcPr>
                  <w:tcW w:w="435" w:type="pct"/>
                  <w:noWrap w:val="0"/>
                  <w:vAlign w:val="center"/>
                </w:tcPr>
                <w:p w14:paraId="65DD37BC">
                  <w:pPr>
                    <w:adjustRightInd w:val="0"/>
                    <w:snapToGrid w:val="0"/>
                    <w:jc w:val="center"/>
                    <w:rPr>
                      <w:rFonts w:hint="eastAsia" w:ascii="Times New Roman" w:hAnsi="Times New Roman" w:eastAsia="宋体" w:cs="Times New Roman"/>
                      <w:b w:val="0"/>
                      <w:bCs w:val="0"/>
                      <w:color w:val="auto"/>
                      <w:szCs w:val="21"/>
                      <w:lang w:eastAsia="zh-CN"/>
                    </w:rPr>
                  </w:pPr>
                  <w:r>
                    <w:rPr>
                      <w:rFonts w:hint="eastAsia" w:ascii="Times New Roman" w:hAnsi="Times New Roman" w:cs="Times New Roman"/>
                      <w:b w:val="0"/>
                      <w:bCs w:val="0"/>
                      <w:color w:val="auto"/>
                      <w:szCs w:val="21"/>
                      <w:lang w:eastAsia="zh-CN"/>
                    </w:rPr>
                    <w:t>立式罐</w:t>
                  </w:r>
                </w:p>
              </w:tc>
              <w:tc>
                <w:tcPr>
                  <w:tcW w:w="307" w:type="pct"/>
                  <w:noWrap w:val="0"/>
                  <w:vAlign w:val="center"/>
                </w:tcPr>
                <w:p w14:paraId="1A44AB65">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32</w:t>
                  </w:r>
                </w:p>
              </w:tc>
              <w:tc>
                <w:tcPr>
                  <w:tcW w:w="508" w:type="pct"/>
                  <w:tcBorders>
                    <w:right w:val="single" w:color="auto" w:sz="4" w:space="0"/>
                  </w:tcBorders>
                  <w:noWrap w:val="0"/>
                  <w:vAlign w:val="center"/>
                </w:tcPr>
                <w:p w14:paraId="368F67C7">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12265</w:t>
                  </w:r>
                </w:p>
              </w:tc>
              <w:tc>
                <w:tcPr>
                  <w:tcW w:w="282" w:type="pct"/>
                  <w:tcBorders>
                    <w:left w:val="single" w:color="auto" w:sz="4" w:space="0"/>
                  </w:tcBorders>
                  <w:noWrap w:val="0"/>
                  <w:vAlign w:val="center"/>
                </w:tcPr>
                <w:p w14:paraId="4C1E6DC6">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Cs w:val="21"/>
                      <w:lang w:val="en-US" w:eastAsia="zh-CN"/>
                    </w:rPr>
                    <w:t>1.0</w:t>
                  </w:r>
                </w:p>
              </w:tc>
              <w:tc>
                <w:tcPr>
                  <w:tcW w:w="334" w:type="pct"/>
                  <w:tcBorders>
                    <w:left w:val="single" w:color="auto" w:sz="4" w:space="0"/>
                  </w:tcBorders>
                  <w:noWrap w:val="0"/>
                  <w:vAlign w:val="center"/>
                </w:tcPr>
                <w:p w14:paraId="04DA06AF">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Cs w:val="21"/>
                      <w:lang w:val="en-US" w:eastAsia="zh-CN"/>
                    </w:rPr>
                    <w:t>1.0</w:t>
                  </w:r>
                </w:p>
              </w:tc>
              <w:tc>
                <w:tcPr>
                  <w:tcW w:w="312" w:type="pct"/>
                  <w:tcBorders>
                    <w:left w:val="single" w:color="auto" w:sz="4" w:space="0"/>
                  </w:tcBorders>
                  <w:noWrap w:val="0"/>
                  <w:vAlign w:val="center"/>
                </w:tcPr>
                <w:p w14:paraId="7D622617">
                  <w:pPr>
                    <w:adjustRightInd w:val="0"/>
                    <w:snapToGrid w:val="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0.4</w:t>
                  </w:r>
                </w:p>
              </w:tc>
              <w:tc>
                <w:tcPr>
                  <w:tcW w:w="301" w:type="pct"/>
                  <w:tcBorders>
                    <w:left w:val="single" w:color="auto" w:sz="4" w:space="0"/>
                  </w:tcBorders>
                  <w:noWrap w:val="0"/>
                  <w:vAlign w:val="center"/>
                </w:tcPr>
                <w:p w14:paraId="59F83A95">
                  <w:pPr>
                    <w:adjustRightInd w:val="0"/>
                    <w:snapToGrid w:val="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10</w:t>
                  </w:r>
                </w:p>
              </w:tc>
              <w:tc>
                <w:tcPr>
                  <w:tcW w:w="311" w:type="pct"/>
                  <w:tcBorders>
                    <w:left w:val="single" w:color="auto" w:sz="4" w:space="0"/>
                  </w:tcBorders>
                  <w:noWrap w:val="0"/>
                  <w:vAlign w:val="center"/>
                </w:tcPr>
                <w:p w14:paraId="209028E4">
                  <w:pPr>
                    <w:adjustRightInd w:val="0"/>
                    <w:snapToGrid w:val="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1.5</w:t>
                  </w:r>
                </w:p>
              </w:tc>
              <w:tc>
                <w:tcPr>
                  <w:tcW w:w="311" w:type="pct"/>
                  <w:tcBorders>
                    <w:left w:val="single" w:color="auto" w:sz="4" w:space="0"/>
                  </w:tcBorders>
                  <w:noWrap w:val="0"/>
                  <w:vAlign w:val="center"/>
                </w:tcPr>
                <w:p w14:paraId="370ADF97">
                  <w:pPr>
                    <w:adjustRightInd w:val="0"/>
                    <w:snapToGrid w:val="0"/>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0.2</w:t>
                  </w:r>
                </w:p>
              </w:tc>
            </w:tr>
          </w:tbl>
          <w:p w14:paraId="789E79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根据上述公式，经计算可知，本项目储罐大呼吸甲醇的产生量为0.012t/a；小呼吸甲醇的产生量为0.009t/a；则储存时储罐呼吸废气排放量为0.021t/a，排放速率0.029kg/h。</w:t>
            </w:r>
          </w:p>
          <w:p w14:paraId="1FD9507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污染物达标排放情况</w:t>
            </w:r>
          </w:p>
          <w:p w14:paraId="3368486B">
            <w:pPr>
              <w:spacing w:line="360" w:lineRule="auto"/>
              <w:ind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废气</w:t>
            </w:r>
            <w:r>
              <w:rPr>
                <w:rFonts w:hint="default" w:ascii="Times New Roman" w:hAnsi="Times New Roman" w:eastAsia="宋体" w:cs="Times New Roman"/>
                <w:color w:val="000000" w:themeColor="text1"/>
                <w:sz w:val="24"/>
                <w:szCs w:val="24"/>
                <w14:textFill>
                  <w14:solidFill>
                    <w14:schemeClr w14:val="tx1"/>
                  </w14:solidFill>
                </w14:textFill>
              </w:rPr>
              <w:t>有组织排放主要为</w:t>
            </w:r>
            <w:r>
              <w:rPr>
                <w:rFonts w:hint="eastAsia" w:cs="Times New Roman"/>
                <w:color w:val="000000" w:themeColor="text1"/>
                <w:sz w:val="24"/>
                <w:szCs w:val="24"/>
                <w:lang w:val="en-US" w:eastAsia="zh-CN"/>
                <w14:textFill>
                  <w14:solidFill>
                    <w14:schemeClr w14:val="tx1"/>
                  </w14:solidFill>
                </w14:textFill>
              </w:rPr>
              <w:t>切断、粉碎、筛分、冷却</w:t>
            </w:r>
            <w:r>
              <w:rPr>
                <w:rFonts w:hint="default" w:ascii="Times New Roman" w:hAnsi="Times New Roman" w:cs="Times New Roman"/>
                <w:color w:val="000000" w:themeColor="text1"/>
                <w:sz w:val="24"/>
                <w:szCs w:val="24"/>
                <w:lang w:val="en-US" w:eastAsia="zh-CN"/>
                <w14:textFill>
                  <w14:solidFill>
                    <w14:schemeClr w14:val="tx1"/>
                  </w14:solidFill>
                </w14:textFill>
              </w:rPr>
              <w:t>过程产生的颗粒物及发酵过程产生的臭气（NH</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、H</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S）</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3BD0A88A">
            <w:pPr>
              <w:keepNext/>
              <w:keepLines/>
              <w:widowControl/>
              <w:adjustRightInd w:val="0"/>
              <w:snapToGrid w:val="0"/>
              <w:spacing w:line="360" w:lineRule="auto"/>
              <w:ind w:firstLine="480" w:firstLineChars="200"/>
              <w:jc w:val="left"/>
              <w:outlineLvl w:val="1"/>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经集气罩+</w:t>
            </w:r>
            <w:r>
              <w:rPr>
                <w:rFonts w:hint="eastAsia" w:cs="Times New Roman"/>
                <w:color w:val="000000" w:themeColor="text1"/>
                <w:sz w:val="24"/>
                <w:szCs w:val="24"/>
                <w:lang w:eastAsia="zh-CN"/>
                <w14:textFill>
                  <w14:solidFill>
                    <w14:schemeClr w14:val="tx1"/>
                  </w14:solidFill>
                </w14:textFill>
              </w:rPr>
              <w:t>旋风除尘+布袋除尘+二级沉降室</w:t>
            </w:r>
            <w:r>
              <w:rPr>
                <w:rFonts w:hint="default" w:ascii="Times New Roman" w:hAnsi="Times New Roman" w:eastAsia="宋体" w:cs="Times New Roman"/>
                <w:color w:val="000000" w:themeColor="text1"/>
                <w:kern w:val="0"/>
                <w:sz w:val="24"/>
                <w:szCs w:val="24"/>
                <w14:textFill>
                  <w14:solidFill>
                    <w14:schemeClr w14:val="tx1"/>
                  </w14:solidFill>
                </w14:textFill>
              </w:rPr>
              <w:t>处理后通过一根15m高排气筒排放</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有组织</w:t>
            </w:r>
            <w:r>
              <w:rPr>
                <w:rFonts w:hint="default" w:ascii="Times New Roman" w:hAnsi="Times New Roman" w:cs="Times New Roman"/>
                <w:color w:val="000000" w:themeColor="text1"/>
                <w:kern w:val="0"/>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0"/>
                <w:sz w:val="24"/>
                <w:szCs w:val="24"/>
                <w14:textFill>
                  <w14:solidFill>
                    <w14:schemeClr w14:val="tx1"/>
                  </w14:solidFill>
                </w14:textFill>
              </w:rPr>
              <w:t>排放速率</w:t>
            </w:r>
            <w:r>
              <w:rPr>
                <w:rFonts w:hint="default" w:ascii="Times New Roman" w:hAnsi="Times New Roman" w:cs="Times New Roman"/>
                <w:color w:val="000000" w:themeColor="text1"/>
                <w:sz w:val="24"/>
                <w:szCs w:val="32"/>
                <w:lang w:val="en-US" w:eastAsia="zh-CN"/>
                <w14:textFill>
                  <w14:solidFill>
                    <w14:schemeClr w14:val="tx1"/>
                  </w14:solidFill>
                </w14:textFill>
              </w:rPr>
              <w:t>0.09</w:t>
            </w:r>
            <w:r>
              <w:rPr>
                <w:rFonts w:hint="eastAsia" w:cs="Times New Roman"/>
                <w:color w:val="000000" w:themeColor="text1"/>
                <w:sz w:val="24"/>
                <w:szCs w:val="32"/>
                <w:lang w:val="en-US" w:eastAsia="zh-CN"/>
                <w14:textFill>
                  <w14:solidFill>
                    <w14:schemeClr w14:val="tx1"/>
                  </w14:solidFill>
                </w14:textFill>
              </w:rPr>
              <w:t>kg</w:t>
            </w:r>
            <w:r>
              <w:rPr>
                <w:rFonts w:hint="default" w:ascii="Times New Roman" w:hAnsi="Times New Roman" w:cs="Times New Roman"/>
                <w:color w:val="000000" w:themeColor="text1"/>
                <w:sz w:val="24"/>
                <w:szCs w:val="32"/>
                <w:lang w:val="en-US" w:eastAsia="zh-CN"/>
                <w14:textFill>
                  <w14:solidFill>
                    <w14:schemeClr w14:val="tx1"/>
                  </w14:solidFill>
                </w14:textFill>
              </w:rPr>
              <w:t>/h</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排放浓度为</w:t>
            </w:r>
            <w:r>
              <w:rPr>
                <w:rFonts w:hint="default" w:ascii="Times New Roman" w:hAnsi="Times New Roman" w:cs="Times New Roman"/>
                <w:color w:val="000000" w:themeColor="text1"/>
                <w:kern w:val="0"/>
                <w:sz w:val="24"/>
                <w:szCs w:val="24"/>
                <w:lang w:val="en-US" w:eastAsia="zh-CN"/>
                <w14:textFill>
                  <w14:solidFill>
                    <w14:schemeClr w14:val="tx1"/>
                  </w14:solidFill>
                </w14:textFill>
              </w:rPr>
              <w:t>8.57</w:t>
            </w:r>
            <w:r>
              <w:rPr>
                <w:rFonts w:hint="default" w:ascii="Times New Roman" w:hAnsi="Times New Roman" w:eastAsia="宋体" w:cs="Times New Roman"/>
                <w:color w:val="000000" w:themeColor="text1"/>
                <w:kern w:val="0"/>
                <w:sz w:val="24"/>
                <w:szCs w:val="24"/>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sz w:val="24"/>
                <w:vertAlign w:val="baseline"/>
                <w:lang w:val="en-US" w:eastAsia="zh-CN"/>
                <w14:textFill>
                  <w14:solidFill>
                    <w14:schemeClr w14:val="tx1"/>
                  </w14:solidFill>
                </w14:textFill>
              </w:rPr>
              <w:t>未经收集处理的经自然沉降后无组织排放，</w:t>
            </w:r>
            <w:r>
              <w:rPr>
                <w:rFonts w:hint="default" w:ascii="Times New Roman" w:hAnsi="Times New Roman" w:cs="Times New Roman"/>
                <w:color w:val="000000" w:themeColor="text1"/>
                <w:sz w:val="24"/>
                <w14:textFill>
                  <w14:solidFill>
                    <w14:schemeClr w14:val="tx1"/>
                  </w14:solidFill>
                </w14:textFill>
              </w:rPr>
              <w:t>满足《大气污染物综合排放标准》（GB16297-1996）表</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中</w:t>
            </w:r>
            <w:r>
              <w:rPr>
                <w:rFonts w:hint="default" w:ascii="Times New Roman" w:hAnsi="Times New Roman" w:cs="Times New Roman"/>
                <w:color w:val="000000" w:themeColor="text1"/>
                <w:sz w:val="24"/>
                <w:lang w:val="en-US" w:eastAsia="zh-CN"/>
                <w14:textFill>
                  <w14:solidFill>
                    <w14:schemeClr w14:val="tx1"/>
                  </w14:solidFill>
                </w14:textFill>
              </w:rPr>
              <w:t>有</w:t>
            </w:r>
            <w:r>
              <w:rPr>
                <w:rFonts w:hint="default" w:ascii="Times New Roman" w:hAnsi="Times New Roman" w:cs="Times New Roman"/>
                <w:color w:val="000000" w:themeColor="text1"/>
                <w:sz w:val="24"/>
                <w14:textFill>
                  <w14:solidFill>
                    <w14:schemeClr w14:val="tx1"/>
                  </w14:solidFill>
                </w14:textFill>
              </w:rPr>
              <w:t>组织</w:t>
            </w:r>
            <w:r>
              <w:rPr>
                <w:rFonts w:hint="default" w:ascii="Times New Roman" w:hAnsi="Times New Roman" w:cs="Times New Roman"/>
                <w:color w:val="000000" w:themeColor="text1"/>
                <w:sz w:val="24"/>
                <w:lang w:val="en-US" w:eastAsia="zh-CN"/>
                <w14:textFill>
                  <w14:solidFill>
                    <w14:schemeClr w14:val="tx1"/>
                  </w14:solidFill>
                </w14:textFill>
              </w:rPr>
              <w:t>和无组织</w:t>
            </w:r>
            <w:r>
              <w:rPr>
                <w:rFonts w:hint="default" w:ascii="Times New Roman" w:hAnsi="Times New Roman" w:cs="Times New Roman"/>
                <w:color w:val="000000" w:themeColor="text1"/>
                <w:sz w:val="24"/>
                <w14:textFill>
                  <w14:solidFill>
                    <w14:schemeClr w14:val="tx1"/>
                  </w14:solidFill>
                </w14:textFill>
              </w:rPr>
              <w:t>排放限值要求</w:t>
            </w:r>
            <w:r>
              <w:rPr>
                <w:rFonts w:hint="default" w:ascii="Times New Roman" w:hAnsi="Times New Roman" w:cs="Times New Roman"/>
                <w:color w:val="000000" w:themeColor="text1"/>
                <w:sz w:val="24"/>
                <w:lang w:eastAsia="zh-CN"/>
                <w14:textFill>
                  <w14:solidFill>
                    <w14:schemeClr w14:val="tx1"/>
                  </w14:solidFill>
                </w14:textFill>
              </w:rPr>
              <w:t>。</w:t>
            </w:r>
          </w:p>
          <w:p w14:paraId="2A3C532F">
            <w:pPr>
              <w:keepNext/>
              <w:keepLines/>
              <w:widowControl/>
              <w:adjustRightInd w:val="0"/>
              <w:snapToGrid w:val="0"/>
              <w:spacing w:line="360" w:lineRule="auto"/>
              <w:ind w:firstLine="480" w:firstLineChars="200"/>
              <w:jc w:val="left"/>
              <w:outlineLvl w:val="1"/>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发酵过程产生的臭气经</w:t>
            </w:r>
            <w:r>
              <w:rPr>
                <w:rFonts w:hint="eastAsia" w:cs="Times New Roman"/>
                <w:color w:val="000000" w:themeColor="text1"/>
                <w:kern w:val="0"/>
                <w:sz w:val="24"/>
                <w:szCs w:val="24"/>
                <w:lang w:val="en-US" w:eastAsia="zh-CN" w:bidi="ar"/>
                <w14:textFill>
                  <w14:solidFill>
                    <w14:schemeClr w14:val="tx1"/>
                  </w14:solidFill>
                </w14:textFill>
              </w:rPr>
              <w:t>一体化生物滤池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除臭设备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处理后</w:t>
            </w:r>
            <w:r>
              <w:rPr>
                <w:rFonts w:hint="default" w:ascii="Times New Roman" w:hAnsi="Times New Roman" w:eastAsia="宋体" w:cs="Times New Roman"/>
                <w:color w:val="000000" w:themeColor="text1"/>
                <w:kern w:val="0"/>
                <w:sz w:val="24"/>
                <w:szCs w:val="24"/>
                <w14:textFill>
                  <w14:solidFill>
                    <w14:schemeClr w14:val="tx1"/>
                  </w14:solidFill>
                </w14:textFill>
              </w:rPr>
              <w:t>通过一根15m高排气筒排放</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有组织NH</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排放速率为</w:t>
            </w:r>
            <w:r>
              <w:rPr>
                <w:rFonts w:hint="eastAsia" w:cs="Times New Roman"/>
                <w:color w:val="000000" w:themeColor="text1"/>
                <w:sz w:val="24"/>
                <w:szCs w:val="24"/>
                <w:lang w:val="en-US" w:eastAsia="zh-CN"/>
                <w14:textFill>
                  <w14:solidFill>
                    <w14:schemeClr w14:val="tx1"/>
                  </w14:solidFill>
                </w14:textFill>
              </w:rPr>
              <w:t>0.062g</w:t>
            </w:r>
            <w:r>
              <w:rPr>
                <w:rFonts w:hint="default" w:ascii="Times New Roman" w:hAnsi="Times New Roman" w:cs="Times New Roman"/>
                <w:color w:val="000000" w:themeColor="text1"/>
                <w:sz w:val="24"/>
                <w:szCs w:val="24"/>
                <w:lang w:val="en-US" w:eastAsia="zh-CN"/>
                <w14:textFill>
                  <w14:solidFill>
                    <w14:schemeClr w14:val="tx1"/>
                  </w14:solidFill>
                </w14:textFill>
              </w:rPr>
              <w:t>/h，排放浓度为</w:t>
            </w:r>
            <w:r>
              <w:rPr>
                <w:rFonts w:hint="eastAsia" w:cs="Times New Roman"/>
                <w:color w:val="000000" w:themeColor="text1"/>
                <w:sz w:val="24"/>
                <w:szCs w:val="24"/>
                <w:lang w:val="en-US" w:eastAsia="zh-CN"/>
                <w14:textFill>
                  <w14:solidFill>
                    <w14:schemeClr w14:val="tx1"/>
                  </w14:solidFill>
                </w14:textFill>
              </w:rPr>
              <w:t>3.098</w:t>
            </w:r>
            <w:r>
              <w:rPr>
                <w:rFonts w:hint="default" w:ascii="Times New Roman" w:hAnsi="Times New Roman" w:cs="Times New Roman"/>
                <w:color w:val="000000" w:themeColor="text1"/>
                <w:sz w:val="24"/>
                <w:szCs w:val="24"/>
                <w:lang w:val="en-US" w:eastAsia="zh-CN"/>
                <w14:textFill>
                  <w14:solidFill>
                    <w14:schemeClr w14:val="tx1"/>
                  </w14:solidFill>
                </w14:textFill>
              </w:rPr>
              <w:t>mg/m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，有组织H</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S排放速率为</w:t>
            </w:r>
            <w:r>
              <w:rPr>
                <w:rFonts w:hint="eastAsia" w:cs="Times New Roman"/>
                <w:color w:val="000000" w:themeColor="text1"/>
                <w:sz w:val="24"/>
                <w:szCs w:val="24"/>
                <w:lang w:val="en-US" w:eastAsia="zh-CN"/>
                <w14:textFill>
                  <w14:solidFill>
                    <w14:schemeClr w14:val="tx1"/>
                  </w14:solidFill>
                </w14:textFill>
              </w:rPr>
              <w:t>0.025kg</w:t>
            </w:r>
            <w:r>
              <w:rPr>
                <w:rFonts w:hint="default" w:ascii="Times New Roman" w:hAnsi="Times New Roman" w:cs="Times New Roman"/>
                <w:color w:val="000000" w:themeColor="text1"/>
                <w:sz w:val="24"/>
                <w:szCs w:val="24"/>
                <w:lang w:val="en-US" w:eastAsia="zh-CN"/>
                <w14:textFill>
                  <w14:solidFill>
                    <w14:schemeClr w14:val="tx1"/>
                  </w14:solidFill>
                </w14:textFill>
              </w:rPr>
              <w:t>/h，排放浓度为</w:t>
            </w:r>
            <w:r>
              <w:rPr>
                <w:rFonts w:hint="eastAsia" w:cs="Times New Roman"/>
                <w:color w:val="000000" w:themeColor="text1"/>
                <w:sz w:val="24"/>
                <w:szCs w:val="24"/>
                <w:lang w:val="en-US" w:eastAsia="zh-CN"/>
                <w14:textFill>
                  <w14:solidFill>
                    <w14:schemeClr w14:val="tx1"/>
                  </w14:solidFill>
                </w14:textFill>
              </w:rPr>
              <w:t>1.239</w:t>
            </w:r>
            <w:r>
              <w:rPr>
                <w:rFonts w:hint="default" w:ascii="Times New Roman" w:hAnsi="Times New Roman" w:cs="Times New Roman"/>
                <w:color w:val="000000" w:themeColor="text1"/>
                <w:sz w:val="24"/>
                <w:szCs w:val="24"/>
                <w:lang w:val="en-US" w:eastAsia="zh-CN"/>
                <w14:textFill>
                  <w14:solidFill>
                    <w14:schemeClr w14:val="tx1"/>
                  </w14:solidFill>
                </w14:textFill>
              </w:rPr>
              <w:t>mg/m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vertAlign w:val="baseline"/>
                <w:lang w:val="en-US" w:eastAsia="zh-CN"/>
                <w14:textFill>
                  <w14:solidFill>
                    <w14:schemeClr w14:val="tx1"/>
                  </w14:solidFill>
                </w14:textFill>
              </w:rPr>
              <w:t>未经收集处理气体的无组织排放</w:t>
            </w:r>
            <w:r>
              <w:rPr>
                <w:rFonts w:hint="eastAsia" w:cs="Times New Roman"/>
                <w:color w:val="000000" w:themeColor="text1"/>
                <w:sz w:val="24"/>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满足</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《恶臭污染物排放标准》（GB14554-93）表1及表2中排放标准限值。</w:t>
            </w:r>
          </w:p>
          <w:p w14:paraId="579B1E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本项目使用燃料为环保油（醇基燃料），热风炉燃烧废气经采取低氮燃烧+15m排气筒排放，颗粒物、SO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、NOx排放浓度均能满足《陕西省锅炉大气污染物排放标准》（DB61/1226-2018）表4燃油锅炉大气污染排放浓度限值要求。</w:t>
            </w:r>
          </w:p>
          <w:p w14:paraId="3F34CB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auto"/>
                <w:kern w:val="0"/>
                <w:sz w:val="24"/>
                <w:szCs w:val="24"/>
                <w:lang w:val="en-US" w:eastAsia="zh-CN"/>
              </w:rPr>
              <w:t>本项目醇基燃料使用量较少，燃料在储存、罐装等过程中均采用密闭方式，挥发量较少，设置呼吸阀通气管，并在通气管口安装阻火器，甲醇通过通气管无组织排放，厂界无组织甲醇浓度可以满足《大气污染物综合排放标准》（GB16297-1996）表2中无组织排放限值要求。</w:t>
            </w:r>
          </w:p>
          <w:p w14:paraId="2ABA0A14">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3、</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废气治理设施可行性</w:t>
            </w:r>
          </w:p>
          <w:p w14:paraId="4703BF0C">
            <w:pPr>
              <w:keepNext/>
              <w:keepLines/>
              <w:widowControl/>
              <w:adjustRightInd w:val="0"/>
              <w:snapToGrid w:val="0"/>
              <w:spacing w:line="360" w:lineRule="auto"/>
              <w:ind w:firstLine="482" w:firstLineChars="200"/>
              <w:jc w:val="left"/>
              <w:outlineLvl w:val="1"/>
              <w:rPr>
                <w:rFonts w:hint="eastAsia"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收集可行性：</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w:t>
            </w:r>
            <w:r>
              <w:rPr>
                <w:rFonts w:hint="eastAsia" w:cs="Times New Roman"/>
                <w:b w:val="0"/>
                <w:bCs w:val="0"/>
                <w:color w:val="000000" w:themeColor="text1"/>
                <w:sz w:val="24"/>
                <w:szCs w:val="24"/>
                <w:lang w:val="en-US" w:eastAsia="zh-CN"/>
                <w14:textFill>
                  <w14:solidFill>
                    <w14:schemeClr w14:val="tx1"/>
                  </w14:solidFill>
                </w14:textFill>
              </w:rPr>
              <w:t>切断、粉碎、筛分、冷却</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颗粒物分别经集气罩收集后经布袋除尘器处理，产生废气的工位合计</w:t>
            </w:r>
            <w:r>
              <w:rPr>
                <w:rFonts w:hint="eastAsia"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个，</w:t>
            </w:r>
            <w:r>
              <w:rPr>
                <w:rFonts w:hint="eastAsia" w:cs="Times New Roman"/>
                <w:b w:val="0"/>
                <w:bCs w:val="0"/>
                <w:color w:val="000000" w:themeColor="text1"/>
                <w:sz w:val="24"/>
                <w:szCs w:val="24"/>
                <w:lang w:val="en-US" w:eastAsia="zh-CN"/>
                <w14:textFill>
                  <w14:solidFill>
                    <w14:schemeClr w14:val="tx1"/>
                  </w14:solidFill>
                </w14:textFill>
              </w:rPr>
              <w:t>切断、粉碎、筛分</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分别在产生废气的设备上方设置集气罩，为保证有效收集，集气罩下方可加装软帘</w:t>
            </w:r>
            <w:r>
              <w:rPr>
                <w:rFonts w:hint="eastAsia" w:cs="Times New Roman"/>
                <w:b w:val="0"/>
                <w:bCs w:val="0"/>
                <w:color w:val="000000" w:themeColor="text1"/>
                <w:sz w:val="24"/>
                <w:szCs w:val="24"/>
                <w:lang w:val="en-US" w:eastAsia="zh-CN"/>
                <w14:textFill>
                  <w14:solidFill>
                    <w14:schemeClr w14:val="tx1"/>
                  </w14:solidFill>
                </w14:textFill>
              </w:rPr>
              <w:t>，冷却工艺废气收集系统为侧吸，</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且每个收集管道分别设置截止阀，当某处工段工作完毕时，该处的阀门关闭，避免收集大量空气</w:t>
            </w:r>
            <w:r>
              <w:rPr>
                <w:rFonts w:hint="eastAsia" w:cs="Times New Roman"/>
                <w:b w:val="0"/>
                <w:bCs w:val="0"/>
                <w:color w:val="000000" w:themeColor="text1"/>
                <w:sz w:val="24"/>
                <w:szCs w:val="24"/>
                <w:lang w:val="en-US" w:eastAsia="zh-CN"/>
                <w14:textFill>
                  <w14:solidFill>
                    <w14:schemeClr w14:val="tx1"/>
                  </w14:solidFill>
                </w14:textFill>
              </w:rPr>
              <w:t>。</w:t>
            </w:r>
          </w:p>
          <w:p w14:paraId="287F6407">
            <w:pPr>
              <w:keepNext/>
              <w:keepLines/>
              <w:widowControl/>
              <w:adjustRightInd w:val="0"/>
              <w:snapToGrid w:val="0"/>
              <w:spacing w:line="360" w:lineRule="auto"/>
              <w:ind w:firstLine="480" w:firstLineChars="200"/>
              <w:jc w:val="left"/>
              <w:outlineLvl w:val="1"/>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物料之间的传输均采用皮带进行传输，且皮带机进行密闭，防止传输过程产生污染</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p>
          <w:p w14:paraId="169B164C">
            <w:pPr>
              <w:keepNext/>
              <w:keepLines/>
              <w:widowControl/>
              <w:adjustRightInd w:val="0"/>
              <w:snapToGrid w:val="0"/>
              <w:spacing w:line="360" w:lineRule="auto"/>
              <w:ind w:firstLine="482" w:firstLineChars="200"/>
              <w:jc w:val="left"/>
              <w:outlineLvl w:val="1"/>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治理可行性：</w:t>
            </w:r>
          </w:p>
          <w:p w14:paraId="11774266">
            <w:pPr>
              <w:keepNext/>
              <w:keepLines/>
              <w:widowControl/>
              <w:adjustRightInd w:val="0"/>
              <w:snapToGrid w:val="0"/>
              <w:spacing w:line="360" w:lineRule="auto"/>
              <w:ind w:firstLine="482" w:firstLineChars="200"/>
              <w:jc w:val="left"/>
              <w:outlineLvl w:val="1"/>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①粉尘治理设施</w:t>
            </w:r>
          </w:p>
          <w:p w14:paraId="0B642670">
            <w:pPr>
              <w:keepNext/>
              <w:keepLines/>
              <w:widowControl/>
              <w:adjustRightInd w:val="0"/>
              <w:snapToGrid w:val="0"/>
              <w:spacing w:line="360" w:lineRule="auto"/>
              <w:ind w:firstLine="480" w:firstLineChars="200"/>
              <w:jc w:val="left"/>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根据</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排污许可证申请与核发技术规范  磷肥、钾肥、复混肥料、有机肥料及微生物肥料工业》（HJ864.2-2018）表15中的可行技术</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有机肥料备料、破碎、造粒、筛分过程颗粒物治理可行技术为：袋式除尘；</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本项目颗粒物采用集气罩+</w:t>
            </w:r>
            <w:r>
              <w:rPr>
                <w:rFonts w:hint="eastAsia" w:cs="Times New Roman"/>
                <w:b w:val="0"/>
                <w:bCs w:val="0"/>
                <w:color w:val="000000" w:themeColor="text1"/>
                <w:sz w:val="24"/>
                <w:szCs w:val="24"/>
                <w:lang w:val="en-US" w:eastAsia="zh-CN"/>
                <w14:textFill>
                  <w14:solidFill>
                    <w14:schemeClr w14:val="tx1"/>
                  </w14:solidFill>
                </w14:textFill>
              </w:rPr>
              <w:t>旋风除尘+布袋除尘+二级沉降室</w:t>
            </w:r>
            <w:r>
              <w:rPr>
                <w:rFonts w:hint="default" w:ascii="Times New Roman" w:hAnsi="Times New Roman" w:cs="Times New Roman"/>
                <w:color w:val="000000" w:themeColor="text1"/>
                <w:sz w:val="24"/>
                <w:szCs w:val="24"/>
                <w:lang w:val="en-US" w:eastAsia="zh-CN"/>
                <w14:textFill>
                  <w14:solidFill>
                    <w14:schemeClr w14:val="tx1"/>
                  </w14:solidFill>
                </w14:textFill>
              </w:rPr>
              <w:t>，处理效率优于技术要求。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有机肥料发酵过程氨、硫化氢治理可行技术：生物除臭（滴滤法、过滤法），本项目</w:t>
            </w:r>
            <w:r>
              <w:rPr>
                <w:rFonts w:hint="default" w:ascii="Times New Roman" w:hAnsi="Times New Roman" w:cs="Times New Roman"/>
                <w:color w:val="000000" w:themeColor="text1"/>
                <w:sz w:val="24"/>
                <w:szCs w:val="24"/>
                <w:lang w:val="en-US" w:eastAsia="zh-CN"/>
                <w14:textFill>
                  <w14:solidFill>
                    <w14:schemeClr w14:val="tx1"/>
                  </w14:solidFill>
                </w14:textFill>
              </w:rPr>
              <w:t>发酵过程氨、硫化氢经</w:t>
            </w:r>
            <w:r>
              <w:rPr>
                <w:rFonts w:hint="eastAsia" w:cs="Times New Roman"/>
                <w:color w:val="000000" w:themeColor="text1"/>
                <w:kern w:val="0"/>
                <w:sz w:val="24"/>
                <w:szCs w:val="24"/>
                <w:lang w:val="en-US" w:eastAsia="zh-CN" w:bidi="ar"/>
                <w14:textFill>
                  <w14:solidFill>
                    <w14:schemeClr w14:val="tx1"/>
                  </w14:solidFill>
                </w14:textFill>
              </w:rPr>
              <w:t>一体化生物滤池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除臭设备</w:t>
            </w:r>
            <w:r>
              <w:rPr>
                <w:rFonts w:hint="eastAsia" w:cs="Times New Roman"/>
                <w:color w:val="000000" w:themeColor="text1"/>
                <w:kern w:val="0"/>
                <w:sz w:val="24"/>
                <w:szCs w:val="24"/>
                <w:lang w:val="en-US" w:eastAsia="zh-CN" w:bidi="ar"/>
                <w14:textFill>
                  <w14:solidFill>
                    <w14:schemeClr w14:val="tx1"/>
                  </w14:solidFill>
                </w14:textFill>
              </w:rPr>
              <w:t>（过滤法）</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处理，属于可行技术。</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故本项目污染治理设施可行。</w:t>
            </w:r>
          </w:p>
          <w:p w14:paraId="1F5D4F9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②除臭治理设施</w:t>
            </w:r>
          </w:p>
          <w:p w14:paraId="1F9F7A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eastAsia" w:cs="Times New Roman"/>
                <w:color w:val="000000" w:themeColor="text1"/>
                <w:sz w:val="24"/>
                <w:szCs w:val="22"/>
                <w:highlight w:val="none"/>
                <w:lang w:val="en-US" w:eastAsia="zh-CN"/>
                <w14:textFill>
                  <w14:solidFill>
                    <w14:schemeClr w14:val="tx1"/>
                  </w14:solidFill>
                </w14:textFill>
              </w:rPr>
              <w:t>一体化生物滤池</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除臭装置工作原理：在适宜的环境条件下，附着于填料上的微生物利用臭气中的污染物作为能源，维持生命活动，并将其分解为CO</w:t>
            </w:r>
            <w:r>
              <w:rPr>
                <w:rFonts w:hint="default" w:ascii="Times New Roman" w:hAnsi="Times New Roman" w:eastAsia="宋体" w:cs="Times New Roman"/>
                <w:color w:val="000000" w:themeColor="text1"/>
                <w:sz w:val="24"/>
                <w:szCs w:val="2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O和其他无机盐类，从而使臭气得以净化。其反应总过程如下：</w:t>
            </w:r>
          </w:p>
          <w:p w14:paraId="2C88DC18">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476500" cy="2190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476500" cy="219075"/>
                          </a:xfrm>
                          <a:prstGeom prst="rect">
                            <a:avLst/>
                          </a:prstGeom>
                          <a:noFill/>
                          <a:ln>
                            <a:noFill/>
                          </a:ln>
                        </pic:spPr>
                      </pic:pic>
                    </a:graphicData>
                  </a:graphic>
                </wp:inline>
              </w:drawing>
            </w:r>
          </w:p>
          <w:p w14:paraId="57BECF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臭气处理流程为：臭气经导入口先平流进入前期水洗涤区，在洗涤区完成对臭气的水吸收、除尘及加湿预处理。未清除的恶臭气体再进入多级生物滤床过滤区，通过过滤层时，恶臭成分在填充材料（炭质颗粒）中，被微生物吸收分解为CO</w:t>
            </w:r>
            <w:r>
              <w:rPr>
                <w:rFonts w:hint="default" w:ascii="Times New Roman" w:hAnsi="Times New Roman" w:eastAsia="宋体" w:cs="Times New Roman"/>
                <w:color w:val="000000" w:themeColor="text1"/>
                <w:sz w:val="24"/>
                <w:szCs w:val="2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2"/>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O等简单无机物，从而达到除臭目的。微生物把吸收的恶臭成分作为能量来源，用于进一步的繁殖。</w:t>
            </w:r>
            <w:r>
              <w:rPr>
                <w:rFonts w:hint="eastAsia" w:cs="Times New Roman"/>
                <w:color w:val="000000" w:themeColor="text1"/>
                <w:sz w:val="24"/>
                <w:szCs w:val="22"/>
                <w:highlight w:val="none"/>
                <w:lang w:val="en-US" w:eastAsia="zh-CN"/>
                <w14:textFill>
                  <w14:solidFill>
                    <w14:schemeClr w14:val="tx1"/>
                  </w14:solidFill>
                </w14:textFill>
              </w:rPr>
              <w:t>生物滤池法</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法的优点是除臭效率高，一般达到60%以上，适合大气量低浓度的废气处理，且该工艺具有构造简单、操作方便、去除效率高、投资较小等优点，除臭工艺流程见下图：</w:t>
            </w:r>
          </w:p>
          <w:p w14:paraId="6D910CB8">
            <w:pPr>
              <w:pStyle w:val="18"/>
              <w:rPr>
                <w:rFonts w:hint="default" w:ascii="Times New Roman" w:hAnsi="Times New Roman" w:cs="Times New Roman"/>
                <w:color w:val="000000" w:themeColor="text1"/>
                <w:lang w:val="en-US" w:eastAsia="zh-CN"/>
                <w14:textFill>
                  <w14:solidFill>
                    <w14:schemeClr w14:val="tx1"/>
                  </w14:solidFill>
                </w14:textFill>
              </w:rPr>
            </w:pPr>
          </w:p>
          <w:p w14:paraId="77029B5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436745" cy="2174240"/>
                  <wp:effectExtent l="0" t="0" r="1905" b="165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8"/>
                          <a:stretch>
                            <a:fillRect/>
                          </a:stretch>
                        </pic:blipFill>
                        <pic:spPr>
                          <a:xfrm>
                            <a:off x="0" y="0"/>
                            <a:ext cx="4436745" cy="2174240"/>
                          </a:xfrm>
                          <a:prstGeom prst="rect">
                            <a:avLst/>
                          </a:prstGeom>
                          <a:noFill/>
                          <a:ln>
                            <a:noFill/>
                          </a:ln>
                        </pic:spPr>
                      </pic:pic>
                    </a:graphicData>
                  </a:graphic>
                </wp:inline>
              </w:drawing>
            </w:r>
          </w:p>
          <w:p w14:paraId="3D6EED28">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图4-1 除臭工艺流程示意图</w:t>
            </w:r>
          </w:p>
          <w:p w14:paraId="742C2F9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③</w:t>
            </w:r>
            <w:r>
              <w:rPr>
                <w:rFonts w:hint="eastAsia" w:ascii="Times New Roman" w:hAnsi="Times New Roman" w:cs="Times New Roman"/>
                <w:b/>
                <w:bCs/>
                <w:color w:val="000000" w:themeColor="text1"/>
                <w:sz w:val="24"/>
                <w:szCs w:val="24"/>
                <w:lang w:val="en-US" w:eastAsia="zh-CN"/>
                <w14:textFill>
                  <w14:solidFill>
                    <w14:schemeClr w14:val="tx1"/>
                  </w14:solidFill>
                </w14:textFill>
              </w:rPr>
              <w:t>醇基燃料治理设施</w:t>
            </w:r>
          </w:p>
          <w:p w14:paraId="718E12FE">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b w:val="0"/>
                <w:bCs w:val="0"/>
                <w:color w:val="auto"/>
                <w:kern w:val="0"/>
                <w:sz w:val="24"/>
                <w:szCs w:val="24"/>
                <w:lang w:val="en-US" w:eastAsia="zh-CN"/>
              </w:rPr>
              <w:t>本项目醇基燃料使用量较少，燃料在储存、罐装等过程中均采用密闭方式，挥发量较少，设置呼吸阀通气管，并在通气管口安装阻火器，甲醇通过通气管</w:t>
            </w:r>
            <w:r>
              <w:rPr>
                <w:rFonts w:hint="eastAsia" w:cs="Times New Roman"/>
                <w:b w:val="0"/>
                <w:bCs w:val="0"/>
                <w:color w:val="auto"/>
                <w:kern w:val="0"/>
                <w:sz w:val="24"/>
                <w:szCs w:val="24"/>
                <w:lang w:val="en-US" w:eastAsia="zh-CN"/>
              </w:rPr>
              <w:t>可以满足</w:t>
            </w:r>
            <w:r>
              <w:rPr>
                <w:rFonts w:hint="eastAsia" w:ascii="Times New Roman" w:hAnsi="Times New Roman" w:eastAsia="宋体" w:cs="Times New Roman"/>
                <w:b w:val="0"/>
                <w:bCs w:val="0"/>
                <w:color w:val="auto"/>
                <w:kern w:val="0"/>
                <w:sz w:val="24"/>
                <w:szCs w:val="24"/>
                <w:lang w:val="en-US" w:eastAsia="zh-CN"/>
              </w:rPr>
              <w:t>无组织排放</w:t>
            </w:r>
            <w:r>
              <w:rPr>
                <w:rFonts w:hint="eastAsia" w:cs="Times New Roman"/>
                <w:b w:val="0"/>
                <w:bCs w:val="0"/>
                <w:color w:val="auto"/>
                <w:kern w:val="0"/>
                <w:sz w:val="24"/>
                <w:szCs w:val="24"/>
                <w:lang w:val="en-US" w:eastAsia="zh-CN"/>
              </w:rPr>
              <w:t>要求。</w:t>
            </w:r>
          </w:p>
          <w:p w14:paraId="1CD90F1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rPr>
              <w:t>综上，本项目</w:t>
            </w:r>
            <w:r>
              <w:rPr>
                <w:rFonts w:hint="default" w:ascii="Times New Roman" w:hAnsi="Times New Roman" w:eastAsia="宋体" w:cs="Times New Roman"/>
                <w:color w:val="auto"/>
                <w:sz w:val="24"/>
                <w:lang w:val="en-US" w:eastAsia="zh-CN"/>
              </w:rPr>
              <w:t>废气治理设施</w:t>
            </w:r>
            <w:r>
              <w:rPr>
                <w:rFonts w:hint="default" w:ascii="Times New Roman" w:hAnsi="Times New Roman" w:eastAsia="宋体" w:cs="Times New Roman"/>
                <w:color w:val="auto"/>
                <w:sz w:val="24"/>
              </w:rPr>
              <w:t>可行。</w:t>
            </w:r>
          </w:p>
          <w:p w14:paraId="6110A8F1">
            <w:pPr>
              <w:keepNext/>
              <w:keepLines/>
              <w:widowControl/>
              <w:adjustRightInd w:val="0"/>
              <w:snapToGrid w:val="0"/>
              <w:spacing w:line="360" w:lineRule="auto"/>
              <w:ind w:firstLine="420" w:firstLineChars="200"/>
              <w:jc w:val="left"/>
              <w:outlineLvl w:val="1"/>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非正常工况废气</w:t>
            </w:r>
          </w:p>
          <w:p w14:paraId="7F55A6A1">
            <w:pPr>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本项目非正常工况废气排放分析及防范措施具体如下：</w:t>
            </w:r>
          </w:p>
          <w:p w14:paraId="55F25655">
            <w:pPr>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1</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非正常工况源强分析</w:t>
            </w:r>
          </w:p>
          <w:p w14:paraId="1726F246">
            <w:pPr>
              <w:adjustRightInd w:val="0"/>
              <w:snapToGrid w:val="0"/>
              <w:spacing w:line="360" w:lineRule="auto"/>
              <w:ind w:firstLine="480" w:firstLineChars="200"/>
              <w:jc w:val="left"/>
              <w:rPr>
                <w:rFonts w:hint="default" w:ascii="Times New Roman" w:hAnsi="Times New Roman" w:cs="Times New Roman"/>
                <w:color w:val="000000" w:themeColor="text1"/>
                <w:kern w:val="0"/>
                <w:sz w:val="24"/>
                <w:lang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本项目非正常工况</w:t>
            </w:r>
            <w:r>
              <w:rPr>
                <w:rFonts w:hint="default" w:ascii="Times New Roman" w:hAnsi="Times New Roman" w:cs="Times New Roman"/>
                <w:color w:val="000000" w:themeColor="text1"/>
                <w:kern w:val="0"/>
                <w:sz w:val="24"/>
                <w:lang w:val="en-US" w:eastAsia="zh-CN" w:bidi="ar"/>
                <w14:textFill>
                  <w14:solidFill>
                    <w14:schemeClr w14:val="tx1"/>
                  </w14:solidFill>
                </w14:textFill>
              </w:rPr>
              <w:t>主要</w:t>
            </w:r>
            <w:r>
              <w:rPr>
                <w:rFonts w:hint="default" w:ascii="Times New Roman" w:hAnsi="Times New Roman" w:cs="Times New Roman"/>
                <w:color w:val="000000" w:themeColor="text1"/>
                <w:kern w:val="0"/>
                <w:sz w:val="24"/>
                <w:lang w:bidi="ar"/>
                <w14:textFill>
                  <w14:solidFill>
                    <w14:schemeClr w14:val="tx1"/>
                  </w14:solidFill>
                </w14:textFill>
              </w:rPr>
              <w:t>考虑废气环保设施运行不正常的情况，本报告按最不利的情况考虑，即废气处理装置损坏，处理效率为0。本项目非正常工况下，污染物排放情况如下表所示</w:t>
            </w:r>
            <w:r>
              <w:rPr>
                <w:rFonts w:hint="default" w:ascii="Times New Roman" w:hAnsi="Times New Roman" w:cs="Times New Roman"/>
                <w:color w:val="000000" w:themeColor="text1"/>
                <w:kern w:val="0"/>
                <w:sz w:val="24"/>
                <w:lang w:eastAsia="zh-CN" w:bidi="ar"/>
                <w14:textFill>
                  <w14:solidFill>
                    <w14:schemeClr w14:val="tx1"/>
                  </w14:solidFill>
                </w14:textFill>
              </w:rPr>
              <w:t>。</w:t>
            </w:r>
          </w:p>
          <w:p w14:paraId="53B43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14:textFill>
                  <w14:solidFill>
                    <w14:schemeClr w14:val="tx1"/>
                  </w14:solidFill>
                </w14:textFill>
              </w:rPr>
              <w:t xml:space="preserve">   非正常工况废气排放情况一览表</w:t>
            </w:r>
          </w:p>
          <w:tbl>
            <w:tblPr>
              <w:tblStyle w:val="23"/>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75"/>
              <w:gridCol w:w="1083"/>
              <w:gridCol w:w="880"/>
              <w:gridCol w:w="1102"/>
              <w:gridCol w:w="1058"/>
              <w:gridCol w:w="922"/>
              <w:gridCol w:w="1043"/>
            </w:tblGrid>
            <w:tr w14:paraId="0187E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76" w:type="dxa"/>
                  <w:tcBorders>
                    <w:tl2br w:val="nil"/>
                    <w:tr2bl w:val="nil"/>
                  </w:tcBorders>
                  <w:noWrap w:val="0"/>
                  <w:vAlign w:val="center"/>
                </w:tcPr>
                <w:p w14:paraId="50A04C5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废气污</w:t>
                  </w:r>
                </w:p>
                <w:p w14:paraId="706338B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染源</w:t>
                  </w:r>
                </w:p>
              </w:tc>
              <w:tc>
                <w:tcPr>
                  <w:tcW w:w="1075" w:type="dxa"/>
                  <w:tcBorders>
                    <w:tl2br w:val="nil"/>
                    <w:tr2bl w:val="nil"/>
                  </w:tcBorders>
                  <w:noWrap w:val="0"/>
                  <w:vAlign w:val="center"/>
                </w:tcPr>
                <w:p w14:paraId="274F9EC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非正常排放原因</w:t>
                  </w:r>
                </w:p>
              </w:tc>
              <w:tc>
                <w:tcPr>
                  <w:tcW w:w="1083" w:type="dxa"/>
                  <w:tcBorders>
                    <w:tl2br w:val="nil"/>
                    <w:tr2bl w:val="nil"/>
                  </w:tcBorders>
                  <w:noWrap w:val="0"/>
                  <w:vAlign w:val="center"/>
                </w:tcPr>
                <w:p w14:paraId="778A090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p>
                <w:p w14:paraId="0FC32B9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种类</w:t>
                  </w:r>
                </w:p>
              </w:tc>
              <w:tc>
                <w:tcPr>
                  <w:tcW w:w="880" w:type="dxa"/>
                  <w:tcBorders>
                    <w:tl2br w:val="nil"/>
                    <w:tr2bl w:val="nil"/>
                  </w:tcBorders>
                  <w:noWrap w:val="0"/>
                  <w:vAlign w:val="center"/>
                </w:tcPr>
                <w:p w14:paraId="076535E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非正常</w:t>
                  </w:r>
                </w:p>
                <w:p w14:paraId="7FEFAF6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频次</w:t>
                  </w:r>
                </w:p>
              </w:tc>
              <w:tc>
                <w:tcPr>
                  <w:tcW w:w="1102" w:type="dxa"/>
                  <w:tcBorders>
                    <w:tl2br w:val="nil"/>
                    <w:tr2bl w:val="nil"/>
                  </w:tcBorders>
                  <w:noWrap w:val="0"/>
                  <w:vAlign w:val="center"/>
                </w:tcPr>
                <w:p w14:paraId="0875614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w:t>
                  </w:r>
                </w:p>
                <w:p w14:paraId="15705ED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mg</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/m³）</w:t>
                  </w:r>
                </w:p>
              </w:tc>
              <w:tc>
                <w:tcPr>
                  <w:tcW w:w="1058" w:type="dxa"/>
                  <w:tcBorders>
                    <w:tl2br w:val="nil"/>
                    <w:tr2bl w:val="nil"/>
                  </w:tcBorders>
                  <w:noWrap w:val="0"/>
                  <w:vAlign w:val="center"/>
                </w:tcPr>
                <w:p w14:paraId="1D3041E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w:t>
                  </w:r>
                  <w:r>
                    <w:rPr>
                      <w:rFonts w:hint="eastAsia" w:cs="Times New Roman"/>
                      <w:color w:val="000000" w:themeColor="text1"/>
                      <w:sz w:val="21"/>
                      <w:szCs w:val="21"/>
                      <w:vertAlign w:val="baseline"/>
                      <w:lang w:val="en-US" w:eastAsia="zh-CN"/>
                      <w14:textFill>
                        <w14:solidFill>
                          <w14:schemeClr w14:val="tx1"/>
                        </w14:solidFill>
                      </w14:textFill>
                    </w:rPr>
                    <w:t>kg</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/h）</w:t>
                  </w:r>
                </w:p>
              </w:tc>
              <w:tc>
                <w:tcPr>
                  <w:tcW w:w="922" w:type="dxa"/>
                  <w:tcBorders>
                    <w:tl2br w:val="nil"/>
                    <w:tr2bl w:val="nil"/>
                  </w:tcBorders>
                  <w:noWrap w:val="0"/>
                  <w:vAlign w:val="center"/>
                </w:tcPr>
                <w:p w14:paraId="29EC4AC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排放量（</w:t>
                  </w:r>
                  <w:r>
                    <w:rPr>
                      <w:rFonts w:hint="eastAsia" w:cs="Times New Roman"/>
                      <w:color w:val="000000" w:themeColor="text1"/>
                      <w:sz w:val="21"/>
                      <w:szCs w:val="21"/>
                      <w:vertAlign w:val="baseline"/>
                      <w:lang w:val="en-US" w:eastAsia="zh-CN"/>
                      <w14:textFill>
                        <w14:solidFill>
                          <w14:schemeClr w14:val="tx1"/>
                        </w14:solidFill>
                      </w14:textFill>
                    </w:rPr>
                    <w:t>kg</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43" w:type="dxa"/>
                  <w:tcBorders>
                    <w:tl2br w:val="nil"/>
                    <w:tr2bl w:val="nil"/>
                  </w:tcBorders>
                  <w:noWrap w:val="0"/>
                  <w:vAlign w:val="center"/>
                </w:tcPr>
                <w:p w14:paraId="0146815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持续时间（h）</w:t>
                  </w:r>
                </w:p>
              </w:tc>
            </w:tr>
            <w:tr w14:paraId="76E08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876" w:type="dxa"/>
                  <w:tcBorders>
                    <w:tl2br w:val="nil"/>
                    <w:tr2bl w:val="nil"/>
                  </w:tcBorders>
                  <w:noWrap w:val="0"/>
                  <w:vAlign w:val="center"/>
                </w:tcPr>
                <w:p w14:paraId="157DF02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切断</w:t>
                  </w:r>
                </w:p>
                <w:p w14:paraId="0FF7589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筛分</w:t>
                  </w:r>
                </w:p>
                <w:p w14:paraId="61CE0C9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粉碎</w:t>
                  </w:r>
                </w:p>
                <w:p w14:paraId="4AAC642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搅拌</w:t>
                  </w:r>
                </w:p>
                <w:p w14:paraId="7F096B6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造粒</w:t>
                  </w:r>
                </w:p>
                <w:p w14:paraId="034324F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烘干</w:t>
                  </w:r>
                </w:p>
              </w:tc>
              <w:tc>
                <w:tcPr>
                  <w:tcW w:w="1075" w:type="dxa"/>
                  <w:tcBorders>
                    <w:tl2br w:val="nil"/>
                    <w:tr2bl w:val="nil"/>
                  </w:tcBorders>
                  <w:noWrap w:val="0"/>
                  <w:vAlign w:val="center"/>
                </w:tcPr>
                <w:p w14:paraId="11830E4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集气罩</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旋风除尘+布袋除尘+二级沉降室</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设施故障</w:t>
                  </w:r>
                </w:p>
              </w:tc>
              <w:tc>
                <w:tcPr>
                  <w:tcW w:w="1083" w:type="dxa"/>
                  <w:tcBorders>
                    <w:tl2br w:val="nil"/>
                    <w:tr2bl w:val="nil"/>
                  </w:tcBorders>
                  <w:noWrap w:val="0"/>
                  <w:vAlign w:val="center"/>
                </w:tcPr>
                <w:p w14:paraId="5173D56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颗粒物</w:t>
                  </w:r>
                </w:p>
              </w:tc>
              <w:tc>
                <w:tcPr>
                  <w:tcW w:w="880" w:type="dxa"/>
                  <w:tcBorders>
                    <w:tl2br w:val="nil"/>
                    <w:tr2bl w:val="nil"/>
                  </w:tcBorders>
                  <w:noWrap w:val="0"/>
                  <w:vAlign w:val="center"/>
                </w:tcPr>
                <w:p w14:paraId="743EFD0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102" w:type="dxa"/>
                  <w:tcBorders>
                    <w:tl2br w:val="nil"/>
                    <w:tr2bl w:val="nil"/>
                  </w:tcBorders>
                  <w:noWrap w:val="0"/>
                  <w:vAlign w:val="center"/>
                </w:tcPr>
                <w:p w14:paraId="1880B95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531</w:t>
                  </w:r>
                </w:p>
              </w:tc>
              <w:tc>
                <w:tcPr>
                  <w:tcW w:w="1058" w:type="dxa"/>
                  <w:tcBorders>
                    <w:tl2br w:val="nil"/>
                    <w:tr2bl w:val="nil"/>
                  </w:tcBorders>
                  <w:noWrap w:val="0"/>
                  <w:vAlign w:val="center"/>
                </w:tcPr>
                <w:p w14:paraId="5F354F6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531</w:t>
                  </w:r>
                </w:p>
              </w:tc>
              <w:tc>
                <w:tcPr>
                  <w:tcW w:w="922" w:type="dxa"/>
                  <w:tcBorders>
                    <w:tl2br w:val="nil"/>
                    <w:tr2bl w:val="nil"/>
                  </w:tcBorders>
                  <w:noWrap w:val="0"/>
                  <w:vAlign w:val="center"/>
                </w:tcPr>
                <w:p w14:paraId="30A7E27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265.5</w:t>
                  </w:r>
                </w:p>
              </w:tc>
              <w:tc>
                <w:tcPr>
                  <w:tcW w:w="1043" w:type="dxa"/>
                  <w:tcBorders>
                    <w:tl2br w:val="nil"/>
                    <w:tr2bl w:val="nil"/>
                  </w:tcBorders>
                  <w:noWrap w:val="0"/>
                  <w:vAlign w:val="center"/>
                </w:tcPr>
                <w:p w14:paraId="495D71B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0.5</w:t>
                  </w:r>
                </w:p>
              </w:tc>
            </w:tr>
            <w:tr w14:paraId="081E8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76" w:type="dxa"/>
                  <w:vMerge w:val="restart"/>
                  <w:tcBorders>
                    <w:tl2br w:val="nil"/>
                    <w:tr2bl w:val="nil"/>
                  </w:tcBorders>
                  <w:noWrap w:val="0"/>
                  <w:vAlign w:val="center"/>
                </w:tcPr>
                <w:p w14:paraId="49BFB76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发酵</w:t>
                  </w:r>
                </w:p>
              </w:tc>
              <w:tc>
                <w:tcPr>
                  <w:tcW w:w="1075" w:type="dxa"/>
                  <w:vMerge w:val="restart"/>
                  <w:tcBorders>
                    <w:tl2br w:val="nil"/>
                    <w:tr2bl w:val="nil"/>
                  </w:tcBorders>
                  <w:noWrap w:val="0"/>
                  <w:vAlign w:val="center"/>
                </w:tcPr>
                <w:p w14:paraId="024574C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一体化生物滤池</w:t>
                  </w:r>
                  <w:r>
                    <w:rPr>
                      <w:rFonts w:hint="default" w:ascii="Times New Roman" w:hAnsi="Times New Roman" w:cs="Times New Roman"/>
                      <w:color w:val="000000" w:themeColor="text1"/>
                      <w:sz w:val="21"/>
                      <w:szCs w:val="21"/>
                      <w:lang w:val="en-US" w:eastAsia="zh-CN"/>
                      <w14:textFill>
                        <w14:solidFill>
                          <w14:schemeClr w14:val="tx1"/>
                        </w14:solidFill>
                      </w14:textFill>
                    </w:rPr>
                    <w:t>故障</w:t>
                  </w:r>
                </w:p>
              </w:tc>
              <w:tc>
                <w:tcPr>
                  <w:tcW w:w="1083" w:type="dxa"/>
                  <w:tcBorders>
                    <w:tl2br w:val="nil"/>
                    <w:tr2bl w:val="nil"/>
                  </w:tcBorders>
                  <w:noWrap w:val="0"/>
                  <w:vAlign w:val="center"/>
                </w:tcPr>
                <w:p w14:paraId="5C95D19F">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p>
              </w:tc>
              <w:tc>
                <w:tcPr>
                  <w:tcW w:w="880" w:type="dxa"/>
                  <w:tcBorders>
                    <w:tl2br w:val="nil"/>
                    <w:tr2bl w:val="nil"/>
                  </w:tcBorders>
                  <w:noWrap w:val="0"/>
                  <w:vAlign w:val="center"/>
                </w:tcPr>
                <w:p w14:paraId="21B88D9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1102" w:type="dxa"/>
                  <w:tcBorders>
                    <w:tl2br w:val="nil"/>
                    <w:tr2bl w:val="nil"/>
                  </w:tcBorders>
                  <w:noWrap w:val="0"/>
                  <w:vAlign w:val="center"/>
                </w:tcPr>
                <w:p w14:paraId="4B27B33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27.5</w:t>
                  </w:r>
                </w:p>
              </w:tc>
              <w:tc>
                <w:tcPr>
                  <w:tcW w:w="1058" w:type="dxa"/>
                  <w:tcBorders>
                    <w:tl2br w:val="nil"/>
                    <w:tr2bl w:val="nil"/>
                  </w:tcBorders>
                  <w:noWrap w:val="0"/>
                  <w:vAlign w:val="center"/>
                </w:tcPr>
                <w:p w14:paraId="532997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0.33</w:t>
                  </w:r>
                </w:p>
              </w:tc>
              <w:tc>
                <w:tcPr>
                  <w:tcW w:w="922" w:type="dxa"/>
                  <w:tcBorders>
                    <w:tl2br w:val="nil"/>
                    <w:tr2bl w:val="nil"/>
                  </w:tcBorders>
                  <w:noWrap w:val="0"/>
                  <w:vAlign w:val="center"/>
                </w:tcPr>
                <w:p w14:paraId="2E1D30F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0.165</w:t>
                  </w:r>
                </w:p>
              </w:tc>
              <w:tc>
                <w:tcPr>
                  <w:tcW w:w="1043" w:type="dxa"/>
                  <w:tcBorders>
                    <w:tl2br w:val="nil"/>
                    <w:tr2bl w:val="nil"/>
                  </w:tcBorders>
                  <w:noWrap w:val="0"/>
                  <w:vAlign w:val="center"/>
                </w:tcPr>
                <w:p w14:paraId="46BCB3DF">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0.5</w:t>
                  </w:r>
                </w:p>
              </w:tc>
            </w:tr>
            <w:tr w14:paraId="1108C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76" w:type="dxa"/>
                  <w:vMerge w:val="continue"/>
                  <w:tcBorders>
                    <w:tl2br w:val="nil"/>
                    <w:tr2bl w:val="nil"/>
                  </w:tcBorders>
                  <w:noWrap w:val="0"/>
                  <w:vAlign w:val="center"/>
                </w:tcPr>
                <w:p w14:paraId="4F42EA6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75" w:type="dxa"/>
                  <w:vMerge w:val="continue"/>
                  <w:tcBorders>
                    <w:tl2br w:val="nil"/>
                    <w:tr2bl w:val="nil"/>
                  </w:tcBorders>
                  <w:noWrap w:val="0"/>
                  <w:vAlign w:val="center"/>
                </w:tcPr>
                <w:p w14:paraId="4C5D853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3" w:type="dxa"/>
                  <w:tcBorders>
                    <w:tl2br w:val="nil"/>
                    <w:tr2bl w:val="nil"/>
                  </w:tcBorders>
                  <w:noWrap w:val="0"/>
                  <w:vAlign w:val="center"/>
                </w:tcPr>
                <w:p w14:paraId="6519C77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S</w:t>
                  </w:r>
                </w:p>
              </w:tc>
              <w:tc>
                <w:tcPr>
                  <w:tcW w:w="880" w:type="dxa"/>
                  <w:tcBorders>
                    <w:tl2br w:val="nil"/>
                    <w:tr2bl w:val="nil"/>
                  </w:tcBorders>
                  <w:noWrap w:val="0"/>
                  <w:vAlign w:val="center"/>
                </w:tcPr>
                <w:p w14:paraId="6D108B1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1102" w:type="dxa"/>
                  <w:tcBorders>
                    <w:tl2br w:val="nil"/>
                    <w:tr2bl w:val="nil"/>
                  </w:tcBorders>
                  <w:noWrap w:val="0"/>
                  <w:vAlign w:val="center"/>
                </w:tcPr>
                <w:p w14:paraId="1B9D1C9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10.92</w:t>
                  </w:r>
                </w:p>
              </w:tc>
              <w:tc>
                <w:tcPr>
                  <w:tcW w:w="1058" w:type="dxa"/>
                  <w:tcBorders>
                    <w:tl2br w:val="nil"/>
                    <w:tr2bl w:val="nil"/>
                  </w:tcBorders>
                  <w:noWrap w:val="0"/>
                  <w:vAlign w:val="center"/>
                </w:tcPr>
                <w:p w14:paraId="285A5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0.131</w:t>
                  </w:r>
                </w:p>
              </w:tc>
              <w:tc>
                <w:tcPr>
                  <w:tcW w:w="922" w:type="dxa"/>
                  <w:tcBorders>
                    <w:tl2br w:val="nil"/>
                    <w:tr2bl w:val="nil"/>
                  </w:tcBorders>
                  <w:noWrap w:val="0"/>
                  <w:vAlign w:val="center"/>
                </w:tcPr>
                <w:p w14:paraId="23F6C19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0.0655</w:t>
                  </w:r>
                </w:p>
              </w:tc>
              <w:tc>
                <w:tcPr>
                  <w:tcW w:w="1043" w:type="dxa"/>
                  <w:tcBorders>
                    <w:tl2br w:val="nil"/>
                    <w:tr2bl w:val="nil"/>
                  </w:tcBorders>
                  <w:noWrap w:val="0"/>
                  <w:vAlign w:val="center"/>
                </w:tcPr>
                <w:p w14:paraId="6C12C19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0.5</w:t>
                  </w:r>
                </w:p>
              </w:tc>
            </w:tr>
            <w:tr w14:paraId="5726B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876" w:type="dxa"/>
                  <w:vMerge w:val="restart"/>
                  <w:tcBorders>
                    <w:tl2br w:val="nil"/>
                    <w:tr2bl w:val="nil"/>
                  </w:tcBorders>
                  <w:noWrap w:val="0"/>
                  <w:vAlign w:val="center"/>
                </w:tcPr>
                <w:p w14:paraId="118E301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燃烧废气</w:t>
                  </w:r>
                </w:p>
              </w:tc>
              <w:tc>
                <w:tcPr>
                  <w:tcW w:w="1075" w:type="dxa"/>
                  <w:vMerge w:val="restart"/>
                  <w:tcBorders>
                    <w:tl2br w:val="nil"/>
                    <w:tr2bl w:val="nil"/>
                  </w:tcBorders>
                  <w:noWrap w:val="0"/>
                  <w:vAlign w:val="center"/>
                </w:tcPr>
                <w:p w14:paraId="4D03648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vertAlign w:val="baseline"/>
                      <w:lang w:val="en-US" w:eastAsia="zh-CN"/>
                    </w:rPr>
                    <w:t>低氮燃烧</w:t>
                  </w:r>
                </w:p>
              </w:tc>
              <w:tc>
                <w:tcPr>
                  <w:tcW w:w="1083" w:type="dxa"/>
                  <w:tcBorders>
                    <w:tl2br w:val="nil"/>
                    <w:tr2bl w:val="nil"/>
                  </w:tcBorders>
                  <w:noWrap w:val="0"/>
                  <w:vAlign w:val="center"/>
                </w:tcPr>
                <w:p w14:paraId="1952306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880" w:type="dxa"/>
                  <w:vMerge w:val="restart"/>
                  <w:tcBorders>
                    <w:tl2br w:val="nil"/>
                    <w:tr2bl w:val="nil"/>
                  </w:tcBorders>
                  <w:noWrap w:val="0"/>
                  <w:vAlign w:val="center"/>
                </w:tcPr>
                <w:p w14:paraId="61DB9D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102" w:type="dxa"/>
                  <w:tcBorders>
                    <w:tl2br w:val="nil"/>
                    <w:tr2bl w:val="nil"/>
                  </w:tcBorders>
                  <w:noWrap w:val="0"/>
                  <w:vAlign w:val="center"/>
                </w:tcPr>
                <w:p w14:paraId="76A8623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w:t>
                  </w:r>
                </w:p>
              </w:tc>
              <w:tc>
                <w:tcPr>
                  <w:tcW w:w="1058" w:type="dxa"/>
                  <w:tcBorders>
                    <w:tl2br w:val="nil"/>
                    <w:tr2bl w:val="nil"/>
                  </w:tcBorders>
                  <w:noWrap w:val="0"/>
                  <w:vAlign w:val="center"/>
                </w:tcPr>
                <w:p w14:paraId="79383D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0.008</w:t>
                  </w:r>
                </w:p>
              </w:tc>
              <w:tc>
                <w:tcPr>
                  <w:tcW w:w="922" w:type="dxa"/>
                  <w:tcBorders>
                    <w:tl2br w:val="nil"/>
                    <w:tr2bl w:val="nil"/>
                  </w:tcBorders>
                  <w:noWrap w:val="0"/>
                  <w:vAlign w:val="center"/>
                </w:tcPr>
                <w:p w14:paraId="23875E3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0.004</w:t>
                  </w:r>
                </w:p>
              </w:tc>
              <w:tc>
                <w:tcPr>
                  <w:tcW w:w="1043" w:type="dxa"/>
                  <w:tcBorders>
                    <w:tl2br w:val="nil"/>
                    <w:tr2bl w:val="nil"/>
                  </w:tcBorders>
                  <w:noWrap w:val="0"/>
                  <w:vAlign w:val="center"/>
                </w:tcPr>
                <w:p w14:paraId="049641B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0.5</w:t>
                  </w:r>
                </w:p>
              </w:tc>
            </w:tr>
            <w:tr w14:paraId="0D593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876" w:type="dxa"/>
                  <w:vMerge w:val="continue"/>
                  <w:tcBorders>
                    <w:tl2br w:val="nil"/>
                    <w:tr2bl w:val="nil"/>
                  </w:tcBorders>
                  <w:noWrap w:val="0"/>
                  <w:vAlign w:val="center"/>
                </w:tcPr>
                <w:p w14:paraId="6C70FBA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pPr>
                </w:p>
              </w:tc>
              <w:tc>
                <w:tcPr>
                  <w:tcW w:w="1075" w:type="dxa"/>
                  <w:vMerge w:val="continue"/>
                  <w:tcBorders>
                    <w:tl2br w:val="nil"/>
                    <w:tr2bl w:val="nil"/>
                  </w:tcBorders>
                  <w:noWrap w:val="0"/>
                  <w:vAlign w:val="center"/>
                </w:tcPr>
                <w:p w14:paraId="15D5AC0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pPr>
                </w:p>
              </w:tc>
              <w:tc>
                <w:tcPr>
                  <w:tcW w:w="1083" w:type="dxa"/>
                  <w:tcBorders>
                    <w:tl2br w:val="nil"/>
                    <w:tr2bl w:val="nil"/>
                  </w:tcBorders>
                  <w:noWrap w:val="0"/>
                  <w:vAlign w:val="center"/>
                </w:tcPr>
                <w:p w14:paraId="45A8283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二氧化硫</w:t>
                  </w:r>
                </w:p>
              </w:tc>
              <w:tc>
                <w:tcPr>
                  <w:tcW w:w="880" w:type="dxa"/>
                  <w:vMerge w:val="continue"/>
                  <w:tcBorders>
                    <w:tl2br w:val="nil"/>
                    <w:tr2bl w:val="nil"/>
                  </w:tcBorders>
                  <w:noWrap w:val="0"/>
                  <w:vAlign w:val="center"/>
                </w:tcPr>
                <w:p w14:paraId="723DF96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1102" w:type="dxa"/>
                  <w:tcBorders>
                    <w:tl2br w:val="nil"/>
                    <w:tr2bl w:val="nil"/>
                  </w:tcBorders>
                  <w:noWrap w:val="0"/>
                  <w:vAlign w:val="center"/>
                </w:tcPr>
                <w:p w14:paraId="1E8ED0F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0.067</w:t>
                  </w:r>
                </w:p>
              </w:tc>
              <w:tc>
                <w:tcPr>
                  <w:tcW w:w="1058" w:type="dxa"/>
                  <w:tcBorders>
                    <w:tl2br w:val="nil"/>
                    <w:tr2bl w:val="nil"/>
                  </w:tcBorders>
                  <w:noWrap w:val="0"/>
                  <w:vAlign w:val="center"/>
                </w:tcPr>
                <w:p w14:paraId="7EC5368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0.003</w:t>
                  </w:r>
                </w:p>
              </w:tc>
              <w:tc>
                <w:tcPr>
                  <w:tcW w:w="922" w:type="dxa"/>
                  <w:tcBorders>
                    <w:tl2br w:val="nil"/>
                    <w:tr2bl w:val="nil"/>
                  </w:tcBorders>
                  <w:noWrap w:val="0"/>
                  <w:vAlign w:val="center"/>
                </w:tcPr>
                <w:p w14:paraId="195FC14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0.002</w:t>
                  </w:r>
                </w:p>
              </w:tc>
              <w:tc>
                <w:tcPr>
                  <w:tcW w:w="1043" w:type="dxa"/>
                  <w:tcBorders>
                    <w:tl2br w:val="nil"/>
                    <w:tr2bl w:val="nil"/>
                  </w:tcBorders>
                  <w:noWrap w:val="0"/>
                  <w:vAlign w:val="center"/>
                </w:tcPr>
                <w:p w14:paraId="4D893E6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0.5</w:t>
                  </w:r>
                </w:p>
              </w:tc>
            </w:tr>
            <w:tr w14:paraId="4BE68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876" w:type="dxa"/>
                  <w:vMerge w:val="continue"/>
                  <w:tcBorders>
                    <w:tl2br w:val="nil"/>
                    <w:tr2bl w:val="nil"/>
                  </w:tcBorders>
                  <w:noWrap w:val="0"/>
                  <w:vAlign w:val="center"/>
                </w:tcPr>
                <w:p w14:paraId="2F5B34B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1075" w:type="dxa"/>
                  <w:vMerge w:val="continue"/>
                  <w:tcBorders>
                    <w:tl2br w:val="nil"/>
                    <w:tr2bl w:val="nil"/>
                  </w:tcBorders>
                  <w:noWrap w:val="0"/>
                  <w:vAlign w:val="center"/>
                </w:tcPr>
                <w:p w14:paraId="271C598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1083" w:type="dxa"/>
                  <w:tcBorders>
                    <w:tl2br w:val="nil"/>
                    <w:tr2bl w:val="nil"/>
                  </w:tcBorders>
                  <w:noWrap w:val="0"/>
                  <w:vAlign w:val="center"/>
                </w:tcPr>
                <w:p w14:paraId="35A207A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氮氧化物</w:t>
                  </w:r>
                </w:p>
              </w:tc>
              <w:tc>
                <w:tcPr>
                  <w:tcW w:w="880" w:type="dxa"/>
                  <w:vMerge w:val="continue"/>
                  <w:tcBorders>
                    <w:tl2br w:val="nil"/>
                    <w:tr2bl w:val="nil"/>
                  </w:tcBorders>
                  <w:noWrap w:val="0"/>
                  <w:vAlign w:val="center"/>
                </w:tcPr>
                <w:p w14:paraId="6F88699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p>
              </w:tc>
              <w:tc>
                <w:tcPr>
                  <w:tcW w:w="1102" w:type="dxa"/>
                  <w:tcBorders>
                    <w:tl2br w:val="nil"/>
                    <w:tr2bl w:val="nil"/>
                  </w:tcBorders>
                  <w:noWrap w:val="0"/>
                  <w:vAlign w:val="center"/>
                </w:tcPr>
                <w:p w14:paraId="7B92C9E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0.35</w:t>
                  </w:r>
                </w:p>
              </w:tc>
              <w:tc>
                <w:tcPr>
                  <w:tcW w:w="1058" w:type="dxa"/>
                  <w:tcBorders>
                    <w:tl2br w:val="nil"/>
                    <w:tr2bl w:val="nil"/>
                  </w:tcBorders>
                  <w:noWrap w:val="0"/>
                  <w:vAlign w:val="center"/>
                </w:tcPr>
                <w:p w14:paraId="4278C6A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0.009</w:t>
                  </w:r>
                </w:p>
              </w:tc>
              <w:tc>
                <w:tcPr>
                  <w:tcW w:w="922" w:type="dxa"/>
                  <w:tcBorders>
                    <w:tl2br w:val="nil"/>
                    <w:tr2bl w:val="nil"/>
                  </w:tcBorders>
                  <w:noWrap w:val="0"/>
                  <w:vAlign w:val="center"/>
                </w:tcPr>
                <w:p w14:paraId="63B03EE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0.005</w:t>
                  </w:r>
                </w:p>
              </w:tc>
              <w:tc>
                <w:tcPr>
                  <w:tcW w:w="1043" w:type="dxa"/>
                  <w:tcBorders>
                    <w:tl2br w:val="nil"/>
                    <w:tr2bl w:val="nil"/>
                  </w:tcBorders>
                  <w:noWrap w:val="0"/>
                  <w:vAlign w:val="center"/>
                </w:tcPr>
                <w:p w14:paraId="51EA504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0.5</w:t>
                  </w:r>
                </w:p>
              </w:tc>
            </w:tr>
          </w:tbl>
          <w:p w14:paraId="1B7F770E">
            <w:pPr>
              <w:adjustRightInd w:val="0"/>
              <w:snapToGrid w:val="0"/>
              <w:spacing w:before="120" w:beforeLines="50"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根据上表，在非正常工况下，本项目废气排放浓度远高于正常工况下的排放浓度。</w:t>
            </w:r>
          </w:p>
          <w:p w14:paraId="76928F2A">
            <w:pPr>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val="en-US" w:eastAsia="zh-CN" w:bidi="ar"/>
                <w14:textFill>
                  <w14:solidFill>
                    <w14:schemeClr w14:val="tx1"/>
                  </w14:solidFill>
                </w14:textFill>
              </w:rPr>
              <w:t>2</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非正常工况防范措施</w:t>
            </w:r>
          </w:p>
          <w:p w14:paraId="60F79609">
            <w:pPr>
              <w:adjustRightInd w:val="0"/>
              <w:snapToGri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为确保项目废气处理装置正常运行，在日常运行过程中，采取如下措施：①委派专人负责每日巡检各废气处理装置，做好巡检记录并与之前的记录对照，若发现数据异常应立即停产并通报环保设备厂商对设备进行故障排查；②建立废气处理装置运行管理台账，由专人负责记录。</w:t>
            </w:r>
          </w:p>
          <w:p w14:paraId="0B631BB7">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废气排放的环境影响</w:t>
            </w:r>
          </w:p>
          <w:p w14:paraId="4813F7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本项目所在地环境空气质量现状为达标区域，本项目</w:t>
            </w:r>
            <w:r>
              <w:rPr>
                <w:rFonts w:hint="eastAsia" w:cs="Times New Roman"/>
                <w:b w:val="0"/>
                <w:bCs w:val="0"/>
                <w:color w:val="000000" w:themeColor="text1"/>
                <w:kern w:val="0"/>
                <w:sz w:val="24"/>
                <w:lang w:val="en-US" w:eastAsia="zh-CN"/>
                <w14:textFill>
                  <w14:solidFill>
                    <w14:schemeClr w14:val="tx1"/>
                  </w14:solidFill>
                </w14:textFill>
              </w:rPr>
              <w:t>切断、粉碎、筛分、冷却</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粉尘经集气罩收集后通过袋式除尘器处理达标后经15m高排气筒排放，</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项目排放颗粒物的车间为</w:t>
            </w:r>
            <w:r>
              <w:rPr>
                <w:rFonts w:hint="eastAsia" w:cs="Times New Roman"/>
                <w:b w:val="0"/>
                <w:bCs w:val="0"/>
                <w:color w:val="000000" w:themeColor="text1"/>
                <w:kern w:val="0"/>
                <w:sz w:val="24"/>
                <w:lang w:val="en-US" w:eastAsia="zh-CN"/>
                <w14:textFill>
                  <w14:solidFill>
                    <w14:schemeClr w14:val="tx1"/>
                  </w14:solidFill>
                </w14:textFill>
              </w:rPr>
              <w:t>生产车间，</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此车间无臭气产生，颗粒物经处理后排放量较小，且生产车间为密闭车间。本项目排放恶臭的车间为发酵车间，</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发酵</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车间</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产生的恶臭气体采取一体化</w:t>
            </w:r>
            <w:r>
              <w:rPr>
                <w:rFonts w:hint="eastAsia" w:cs="Times New Roman"/>
                <w:b w:val="0"/>
                <w:bCs w:val="0"/>
                <w:color w:val="000000" w:themeColor="text1"/>
                <w:kern w:val="0"/>
                <w:sz w:val="24"/>
                <w:lang w:val="en-US" w:eastAsia="zh-CN"/>
                <w14:textFill>
                  <w14:solidFill>
                    <w14:schemeClr w14:val="tx1"/>
                  </w14:solidFill>
                </w14:textFill>
              </w:rPr>
              <w:t>生物除臭装置</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处理后经15m高排气筒排放</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经处理后，臭气</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污染物排放量较小，距离项目所在地最近的敏感点东风村位于厂区西北侧177m处，该敏感点距离发酵车间约252m，发酵车间产生的恶臭气体采取一体化</w:t>
            </w:r>
            <w:r>
              <w:rPr>
                <w:rFonts w:hint="eastAsia" w:cs="Times New Roman"/>
                <w:b w:val="0"/>
                <w:bCs w:val="0"/>
                <w:color w:val="000000" w:themeColor="text1"/>
                <w:kern w:val="0"/>
                <w:sz w:val="24"/>
                <w:lang w:val="en-US" w:eastAsia="zh-CN"/>
                <w14:textFill>
                  <w14:solidFill>
                    <w14:schemeClr w14:val="tx1"/>
                  </w14:solidFill>
                </w14:textFill>
              </w:rPr>
              <w:t>生物除臭装置</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处理后经15m高排气筒排放，处理后各污染物均能达标排放，不会对周边环境产生较大影响。</w:t>
            </w:r>
          </w:p>
          <w:p w14:paraId="575C0DB0">
            <w:pPr>
              <w:keepNext w:val="0"/>
              <w:keepLines w:val="0"/>
              <w:pageBreakBefore w:val="0"/>
              <w:widowControl w:val="0"/>
              <w:kinsoku/>
              <w:wordWrap/>
              <w:overflowPunct/>
              <w:topLinePunct w:val="0"/>
              <w:autoSpaceDE/>
              <w:autoSpaceDN/>
              <w:bidi w:val="0"/>
              <w:spacing w:line="360" w:lineRule="auto"/>
              <w:ind w:firstLine="48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卫生防护距离</w:t>
            </w:r>
          </w:p>
          <w:p w14:paraId="0FF7CFF7">
            <w:pPr>
              <w:keepNext w:val="0"/>
              <w:keepLines w:val="0"/>
              <w:pageBreakBefore w:val="0"/>
              <w:widowControl w:val="0"/>
              <w:kinsoku/>
              <w:wordWrap/>
              <w:overflowPunct/>
              <w:topLinePunct w:val="0"/>
              <w:autoSpaceDE/>
              <w:autoSpaceDN/>
              <w:bidi w:val="0"/>
              <w:spacing w:line="360" w:lineRule="auto"/>
              <w:ind w:firstLine="48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依据《大气有害物质无组织排放卫生防护距离推导技术导则》（GB/T 39499-2020）中的规定：“不同行业及生产工艺产生无组织排放的特征大气有害物质差别较大，在选取特征大气有害物质时，应首先考虑其对人体健康损害毒性特点”，故本项目选取</w:t>
            </w:r>
            <w:r>
              <w:rPr>
                <w:rFonts w:hint="eastAsia" w:cs="Times New Roman"/>
                <w:color w:val="000000" w:themeColor="text1"/>
                <w:sz w:val="24"/>
                <w:szCs w:val="24"/>
                <w:lang w:val="en-US" w:eastAsia="zh-CN"/>
                <w14:textFill>
                  <w14:solidFill>
                    <w14:schemeClr w14:val="tx1"/>
                  </w14:solidFill>
                </w14:textFill>
              </w:rPr>
              <w:t>氨和硫化氢作为</w:t>
            </w:r>
            <w:r>
              <w:rPr>
                <w:rFonts w:hint="default" w:ascii="Times New Roman" w:hAnsi="Times New Roman" w:cs="Times New Roman"/>
                <w:color w:val="000000" w:themeColor="text1"/>
                <w:sz w:val="24"/>
                <w:szCs w:val="24"/>
                <w14:textFill>
                  <w14:solidFill>
                    <w14:schemeClr w14:val="tx1"/>
                  </w14:solidFill>
                </w14:textFill>
              </w:rPr>
              <w:t>本项目卫生防护距离计算的特征大气有害物质。</w:t>
            </w:r>
          </w:p>
          <w:p w14:paraId="390EE854">
            <w:pPr>
              <w:keepNext w:val="0"/>
              <w:keepLines w:val="0"/>
              <w:pageBreakBefore w:val="0"/>
              <w:widowControl w:val="0"/>
              <w:kinsoku/>
              <w:wordWrap/>
              <w:overflowPunct/>
              <w:topLinePunct w:val="0"/>
              <w:autoSpaceDE/>
              <w:autoSpaceDN/>
              <w:bidi w:val="0"/>
              <w:spacing w:line="360" w:lineRule="auto"/>
              <w:ind w:firstLine="48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产生大气有害物质无组织排放的建设项目的卫生防护距离初值计算公式为：</w:t>
            </w:r>
          </w:p>
          <w:p w14:paraId="3527A5D9">
            <w:pPr>
              <w:keepNext w:val="0"/>
              <w:keepLines w:val="0"/>
              <w:pageBreakBefore w:val="0"/>
              <w:widowControl w:val="0"/>
              <w:kinsoku/>
              <w:wordWrap/>
              <w:overflowPunct/>
              <w:topLinePunct w:val="0"/>
              <w:autoSpaceDE/>
              <w:autoSpaceDN/>
              <w:bidi w:val="0"/>
              <w:spacing w:line="360" w:lineRule="auto"/>
              <w:ind w:firstLine="48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3057525" cy="533400"/>
                  <wp:effectExtent l="0" t="0" r="9525" b="0"/>
                  <wp:docPr id="2" name="图片 24" descr="C:/Users/Administrator/AppData/Local/Temp/picturecompress_20210525160436/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C:/Users/Administrator/AppData/Local/Temp/picturecompress_20210525160436/output_30.pngoutput_30"/>
                          <pic:cNvPicPr>
                            <a:picLocks noChangeAspect="1"/>
                          </pic:cNvPicPr>
                        </pic:nvPicPr>
                        <pic:blipFill>
                          <a:blip r:embed="rId19"/>
                          <a:stretch>
                            <a:fillRect/>
                          </a:stretch>
                        </pic:blipFill>
                        <pic:spPr>
                          <a:xfrm>
                            <a:off x="0" y="0"/>
                            <a:ext cx="3057525" cy="533400"/>
                          </a:xfrm>
                          <a:prstGeom prst="rect">
                            <a:avLst/>
                          </a:prstGeom>
                          <a:noFill/>
                          <a:ln>
                            <a:noFill/>
                          </a:ln>
                        </pic:spPr>
                      </pic:pic>
                    </a:graphicData>
                  </a:graphic>
                </wp:inline>
              </w:drawing>
            </w:r>
          </w:p>
          <w:p w14:paraId="7EB50DAF">
            <w:pPr>
              <w:pStyle w:val="18"/>
              <w:keepNext w:val="0"/>
              <w:keepLines w:val="0"/>
              <w:pageBreakBefore w:val="0"/>
              <w:widowControl w:val="0"/>
              <w:kinsoku/>
              <w:wordWrap/>
              <w:overflowPunct/>
              <w:topLinePunct w:val="0"/>
              <w:autoSpaceDE/>
              <w:autoSpaceDN/>
              <w:bidi w:val="0"/>
              <w:adjustRightInd w:val="0"/>
              <w:snapToGrid w:val="0"/>
              <w:spacing w:line="360" w:lineRule="auto"/>
              <w:ind w:left="960" w:hanging="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14:paraId="27BD8369">
            <w:pPr>
              <w:pStyle w:val="18"/>
              <w:keepNext w:val="0"/>
              <w:keepLines w:val="0"/>
              <w:pageBreakBefore w:val="0"/>
              <w:widowControl w:val="0"/>
              <w:kinsoku/>
              <w:wordWrap/>
              <w:overflowPunct/>
              <w:topLinePunct w:val="0"/>
              <w:autoSpaceDE/>
              <w:autoSpaceDN/>
              <w:bidi w:val="0"/>
              <w:adjustRightInd w:val="0"/>
              <w:snapToGrid w:val="0"/>
              <w:spacing w:line="360" w:lineRule="auto"/>
              <w:ind w:left="960" w:hanging="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w:t>
            </w:r>
            <w:r>
              <w:rPr>
                <w:rFonts w:hint="default" w:ascii="Times New Roman" w:hAnsi="Times New Roman" w:cs="Times New Roman"/>
                <w:color w:val="000000" w:themeColor="text1"/>
                <w:sz w:val="24"/>
                <w:szCs w:val="24"/>
                <w:vertAlign w:val="subscript"/>
                <w14:textFill>
                  <w14:solidFill>
                    <w14:schemeClr w14:val="tx1"/>
                  </w14:solidFill>
                </w14:textFill>
              </w:rPr>
              <w:t>C</w:t>
            </w:r>
            <w:r>
              <w:rPr>
                <w:rFonts w:hint="default" w:ascii="Times New Roman" w:hAnsi="Times New Roman" w:cs="Times New Roman"/>
                <w:color w:val="000000" w:themeColor="text1"/>
                <w:sz w:val="24"/>
                <w:szCs w:val="24"/>
                <w14:textFill>
                  <w14:solidFill>
                    <w14:schemeClr w14:val="tx1"/>
                  </w14:solidFill>
                </w14:textFill>
              </w:rPr>
              <w:t>：大气有害物质的无组织排放量，单位为千克每小时（kg/h）；</w:t>
            </w:r>
          </w:p>
          <w:p w14:paraId="20A3F01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Cm：大气有害物质环境空气质量的标准限值，单位为mg/m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0764997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L：大气有害物质卫生防护距离初值，单位为m；</w:t>
            </w:r>
          </w:p>
          <w:p w14:paraId="42FB5E91">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r：大气有害物质无组织排放源所在生产单元的等效半径，单位为m。根据生产单元占地面积S（m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）计算，r=（S/ℼ）</w:t>
            </w:r>
            <w:r>
              <w:rPr>
                <w:rFonts w:hint="default" w:ascii="Times New Roman" w:hAnsi="Times New Roman" w:cs="Times New Roman"/>
                <w:color w:val="000000" w:themeColor="text1"/>
                <w:sz w:val="24"/>
                <w:szCs w:val="24"/>
                <w:vertAlign w:val="superscript"/>
                <w14:textFill>
                  <w14:solidFill>
                    <w14:schemeClr w14:val="tx1"/>
                  </w14:solidFill>
                </w14:textFill>
              </w:rPr>
              <w:t>0.5</w:t>
            </w:r>
            <w:r>
              <w:rPr>
                <w:rFonts w:hint="default" w:ascii="Times New Roman" w:hAnsi="Times New Roman" w:cs="Times New Roman"/>
                <w:color w:val="000000" w:themeColor="text1"/>
                <w:sz w:val="24"/>
                <w:szCs w:val="24"/>
                <w14:textFill>
                  <w14:solidFill>
                    <w14:schemeClr w14:val="tx1"/>
                  </w14:solidFill>
                </w14:textFill>
              </w:rPr>
              <w:t>；</w:t>
            </w:r>
          </w:p>
          <w:p w14:paraId="1566A975">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A、B、C、D：卫生防护距离初值计算系数，无因次，根据工业企业所在地区近5年平均风速及大气污染源构成类别查取。V=1.88m/s，L≤1000m，工业企业大气污染源构成类型为Ⅱ类，取值A=400，B=0.01，C=1.85，D=0.78。</w:t>
            </w:r>
          </w:p>
          <w:p w14:paraId="387AC099">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本项目大气有害物质污染源的卫生防护距离计算参数见表5.2-8</w:t>
            </w:r>
          </w:p>
          <w:p w14:paraId="361213F0">
            <w:pPr>
              <w:adjustRightInd w:val="0"/>
              <w:snapToGrid w:val="0"/>
              <w:spacing w:beforeLines="25" w:afterLines="25"/>
              <w:ind w:firstLine="482"/>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表5.2-8    本项目大气有害物质污染源的卫生防护距离计算参数一览表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61"/>
              <w:gridCol w:w="762"/>
              <w:gridCol w:w="1192"/>
              <w:gridCol w:w="1562"/>
              <w:gridCol w:w="1408"/>
              <w:gridCol w:w="1147"/>
              <w:gridCol w:w="1425"/>
            </w:tblGrid>
            <w:tr w14:paraId="010E5F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61" w:type="pct"/>
                  <w:tcBorders>
                    <w:tl2br w:val="nil"/>
                    <w:tr2bl w:val="nil"/>
                  </w:tcBorders>
                  <w:noWrap/>
                  <w:vAlign w:val="center"/>
                </w:tcPr>
                <w:p w14:paraId="5F70D650">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排放源</w:t>
                  </w:r>
                </w:p>
              </w:tc>
              <w:tc>
                <w:tcPr>
                  <w:tcW w:w="461" w:type="pct"/>
                  <w:tcBorders>
                    <w:tl2br w:val="nil"/>
                    <w:tr2bl w:val="nil"/>
                  </w:tcBorders>
                  <w:noWrap/>
                  <w:vAlign w:val="center"/>
                </w:tcPr>
                <w:p w14:paraId="73BAE430">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污染因子</w:t>
                  </w:r>
                </w:p>
              </w:tc>
              <w:tc>
                <w:tcPr>
                  <w:tcW w:w="721" w:type="pct"/>
                  <w:tcBorders>
                    <w:tl2br w:val="nil"/>
                    <w:tr2bl w:val="nil"/>
                  </w:tcBorders>
                  <w:noWrap/>
                  <w:vAlign w:val="center"/>
                </w:tcPr>
                <w:p w14:paraId="6101D96F">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占地面积（m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45" w:type="pct"/>
                  <w:tcBorders>
                    <w:tl2br w:val="nil"/>
                    <w:tr2bl w:val="nil"/>
                  </w:tcBorders>
                  <w:noWrap/>
                  <w:vAlign w:val="center"/>
                </w:tcPr>
                <w:p w14:paraId="0575D344">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无组织排放量（kg/h）</w:t>
                  </w:r>
                </w:p>
              </w:tc>
              <w:tc>
                <w:tcPr>
                  <w:tcW w:w="852" w:type="pct"/>
                  <w:tcBorders>
                    <w:tl2br w:val="nil"/>
                    <w:tr2bl w:val="nil"/>
                  </w:tcBorders>
                  <w:noWrap/>
                  <w:vAlign w:val="center"/>
                </w:tcPr>
                <w:p w14:paraId="0C474D82">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标准限值（mg/m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94" w:type="pct"/>
                  <w:tcBorders>
                    <w:tl2br w:val="nil"/>
                    <w:tr2bl w:val="nil"/>
                  </w:tcBorders>
                  <w:noWrap/>
                  <w:vAlign w:val="center"/>
                </w:tcPr>
                <w:p w14:paraId="3B6943A9">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计算距离（m）</w:t>
                  </w:r>
                </w:p>
              </w:tc>
              <w:tc>
                <w:tcPr>
                  <w:tcW w:w="862" w:type="pct"/>
                  <w:tcBorders>
                    <w:tl2br w:val="nil"/>
                    <w:tr2bl w:val="nil"/>
                  </w:tcBorders>
                  <w:noWrap/>
                  <w:vAlign w:val="center"/>
                </w:tcPr>
                <w:p w14:paraId="757FBCA0">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卫生防护距离（m）</w:t>
                  </w:r>
                </w:p>
              </w:tc>
            </w:tr>
            <w:tr w14:paraId="08275E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61" w:type="pct"/>
                  <w:vMerge w:val="restart"/>
                  <w:tcBorders>
                    <w:tl2br w:val="nil"/>
                    <w:tr2bl w:val="nil"/>
                  </w:tcBorders>
                  <w:noWrap/>
                  <w:vAlign w:val="center"/>
                </w:tcPr>
                <w:p w14:paraId="75890F6D">
                  <w:pPr>
                    <w:pStyle w:val="58"/>
                    <w:snapToGrid w:val="0"/>
                    <w:spacing w:line="240" w:lineRule="auto"/>
                    <w:ind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发酵车间</w:t>
                  </w:r>
                </w:p>
              </w:tc>
              <w:tc>
                <w:tcPr>
                  <w:tcW w:w="461" w:type="pct"/>
                  <w:tcBorders>
                    <w:tl2br w:val="nil"/>
                    <w:tr2bl w:val="nil"/>
                  </w:tcBorders>
                  <w:noWrap/>
                  <w:vAlign w:val="center"/>
                </w:tcPr>
                <w:p w14:paraId="29299B50">
                  <w:pPr>
                    <w:pStyle w:val="58"/>
                    <w:snapToGrid w:val="0"/>
                    <w:spacing w:line="240" w:lineRule="auto"/>
                    <w:ind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氨</w:t>
                  </w:r>
                </w:p>
              </w:tc>
              <w:tc>
                <w:tcPr>
                  <w:tcW w:w="721" w:type="pct"/>
                  <w:vMerge w:val="restart"/>
                  <w:tcBorders>
                    <w:tl2br w:val="nil"/>
                    <w:tr2bl w:val="nil"/>
                  </w:tcBorders>
                  <w:noWrap/>
                  <w:vAlign w:val="center"/>
                </w:tcPr>
                <w:p w14:paraId="1922AD1B">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1963</w:t>
                  </w:r>
                </w:p>
              </w:tc>
              <w:tc>
                <w:tcPr>
                  <w:tcW w:w="945" w:type="pct"/>
                  <w:tcBorders>
                    <w:tl2br w:val="nil"/>
                    <w:tr2bl w:val="nil"/>
                  </w:tcBorders>
                  <w:noWrap/>
                  <w:vAlign w:val="center"/>
                </w:tcPr>
                <w:p w14:paraId="23809D50">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0.011</w:t>
                  </w:r>
                </w:p>
              </w:tc>
              <w:tc>
                <w:tcPr>
                  <w:tcW w:w="852" w:type="pct"/>
                  <w:tcBorders>
                    <w:tl2br w:val="nil"/>
                    <w:tr2bl w:val="nil"/>
                  </w:tcBorders>
                  <w:noWrap/>
                  <w:vAlign w:val="center"/>
                </w:tcPr>
                <w:p w14:paraId="73A1F545">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1.5</w:t>
                  </w:r>
                </w:p>
              </w:tc>
              <w:tc>
                <w:tcPr>
                  <w:tcW w:w="694" w:type="pct"/>
                  <w:tcBorders>
                    <w:tl2br w:val="nil"/>
                    <w:tr2bl w:val="nil"/>
                  </w:tcBorders>
                  <w:noWrap/>
                  <w:vAlign w:val="center"/>
                </w:tcPr>
                <w:p w14:paraId="1130F04E">
                  <w:pPr>
                    <w:pStyle w:val="58"/>
                    <w:snapToGrid w:val="0"/>
                    <w:spacing w:line="240" w:lineRule="auto"/>
                    <w:ind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w:t>
                  </w:r>
                </w:p>
              </w:tc>
              <w:tc>
                <w:tcPr>
                  <w:tcW w:w="862" w:type="pct"/>
                  <w:tcBorders>
                    <w:tl2br w:val="nil"/>
                    <w:tr2bl w:val="nil"/>
                  </w:tcBorders>
                  <w:noWrap/>
                  <w:vAlign w:val="center"/>
                </w:tcPr>
                <w:p w14:paraId="3B505AE2">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490DE1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61" w:type="pct"/>
                  <w:vMerge w:val="continue"/>
                  <w:tcBorders>
                    <w:tl2br w:val="nil"/>
                    <w:tr2bl w:val="nil"/>
                  </w:tcBorders>
                  <w:noWrap/>
                  <w:vAlign w:val="center"/>
                </w:tcPr>
                <w:p w14:paraId="0A6BFC95">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61" w:type="pct"/>
                  <w:tcBorders>
                    <w:tl2br w:val="nil"/>
                    <w:tr2bl w:val="nil"/>
                  </w:tcBorders>
                  <w:noWrap/>
                  <w:vAlign w:val="center"/>
                </w:tcPr>
                <w:p w14:paraId="02D2A581">
                  <w:pPr>
                    <w:pStyle w:val="58"/>
                    <w:snapToGrid w:val="0"/>
                    <w:spacing w:line="240" w:lineRule="auto"/>
                    <w:ind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硫化氢</w:t>
                  </w:r>
                </w:p>
              </w:tc>
              <w:tc>
                <w:tcPr>
                  <w:tcW w:w="721" w:type="pct"/>
                  <w:vMerge w:val="continue"/>
                  <w:tcBorders>
                    <w:tl2br w:val="nil"/>
                    <w:tr2bl w:val="nil"/>
                  </w:tcBorders>
                  <w:noWrap/>
                  <w:vAlign w:val="center"/>
                </w:tcPr>
                <w:p w14:paraId="30E2F5C5">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45" w:type="pct"/>
                  <w:tcBorders>
                    <w:tl2br w:val="nil"/>
                    <w:tr2bl w:val="nil"/>
                  </w:tcBorders>
                  <w:noWrap/>
                  <w:vAlign w:val="center"/>
                </w:tcPr>
                <w:p w14:paraId="7B33FFA9">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0.004</w:t>
                  </w:r>
                </w:p>
              </w:tc>
              <w:tc>
                <w:tcPr>
                  <w:tcW w:w="852" w:type="pct"/>
                  <w:tcBorders>
                    <w:tl2br w:val="nil"/>
                    <w:tr2bl w:val="nil"/>
                  </w:tcBorders>
                  <w:noWrap/>
                  <w:vAlign w:val="center"/>
                </w:tcPr>
                <w:p w14:paraId="36CC97FA">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0.06</w:t>
                  </w:r>
                </w:p>
              </w:tc>
              <w:tc>
                <w:tcPr>
                  <w:tcW w:w="694" w:type="pct"/>
                  <w:tcBorders>
                    <w:tl2br w:val="nil"/>
                    <w:tr2bl w:val="nil"/>
                  </w:tcBorders>
                  <w:noWrap/>
                  <w:vAlign w:val="center"/>
                </w:tcPr>
                <w:p w14:paraId="7BF962BF">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47</w:t>
                  </w:r>
                </w:p>
              </w:tc>
              <w:tc>
                <w:tcPr>
                  <w:tcW w:w="862" w:type="pct"/>
                  <w:tcBorders>
                    <w:tl2br w:val="nil"/>
                    <w:tr2bl w:val="nil"/>
                  </w:tcBorders>
                  <w:noWrap/>
                  <w:vAlign w:val="center"/>
                </w:tcPr>
                <w:p w14:paraId="01F42B23">
                  <w:pPr>
                    <w:pStyle w:val="58"/>
                    <w:snapToGrid w:val="0"/>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50</w:t>
                  </w:r>
                </w:p>
              </w:tc>
            </w:tr>
          </w:tbl>
          <w:p w14:paraId="2ACE433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经计算，本项目运营期间产生并呈面源无组织排放大气有害物质</w:t>
            </w:r>
            <w:r>
              <w:rPr>
                <w:rFonts w:hint="eastAsia" w:cs="Times New Roman"/>
                <w:color w:val="000000" w:themeColor="text1"/>
                <w:sz w:val="24"/>
                <w:szCs w:val="32"/>
                <w:lang w:val="en-US" w:eastAsia="zh-CN"/>
                <w14:textFill>
                  <w14:solidFill>
                    <w14:schemeClr w14:val="tx1"/>
                  </w14:solidFill>
                </w14:textFill>
              </w:rPr>
              <w:t>氨及硫化氢</w:t>
            </w:r>
            <w:r>
              <w:rPr>
                <w:rFonts w:hint="default" w:ascii="Times New Roman" w:hAnsi="Times New Roman" w:cs="Times New Roman"/>
                <w:color w:val="000000" w:themeColor="text1"/>
                <w:sz w:val="24"/>
                <w:szCs w:val="32"/>
                <w14:textFill>
                  <w14:solidFill>
                    <w14:schemeClr w14:val="tx1"/>
                  </w14:solidFill>
                </w14:textFill>
              </w:rPr>
              <w:t>的卫生防护距离均为50m，</w:t>
            </w:r>
            <w:r>
              <w:rPr>
                <w:rFonts w:hint="eastAsia" w:cs="Times New Roman"/>
                <w:color w:val="000000" w:themeColor="text1"/>
                <w:sz w:val="24"/>
                <w:szCs w:val="32"/>
                <w:lang w:val="en-US" w:eastAsia="zh-CN"/>
                <w14:textFill>
                  <w14:solidFill>
                    <w14:schemeClr w14:val="tx1"/>
                  </w14:solidFill>
                </w14:textFill>
              </w:rPr>
              <w:t>根据GB/T39499-2020中6.2，当企业某生产单元的无组织排放存在多种特征大气有害物质时，如果分别导出的卫生防护距离初值在同一级别时，则该企业的卫生防护距离终值应提高一级，故最终确定本项目卫生防护距离为100m。</w:t>
            </w:r>
          </w:p>
          <w:p w14:paraId="72D5902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14:textFill>
                  <w14:solidFill>
                    <w14:schemeClr w14:val="tx1"/>
                  </w14:solidFill>
                </w14:textFill>
              </w:rPr>
            </w:pPr>
            <w:r>
              <w:rPr>
                <w:rFonts w:hint="eastAsia" w:cs="Times New Roman"/>
                <w:color w:val="000000" w:themeColor="text1"/>
                <w:sz w:val="24"/>
                <w:szCs w:val="32"/>
                <w:lang w:val="en-US" w:eastAsia="zh-CN"/>
                <w14:textFill>
                  <w14:solidFill>
                    <w14:schemeClr w14:val="tx1"/>
                  </w14:solidFill>
                </w14:textFill>
              </w:rPr>
              <w:t>本项目产生有害物质的车间为发酵车间，发酵车间</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距离项目所在地最近的敏感点东风村约252m，</w:t>
            </w:r>
            <w:r>
              <w:rPr>
                <w:rFonts w:hint="default" w:ascii="Times New Roman" w:hAnsi="Times New Roman" w:cs="Times New Roman"/>
                <w:color w:val="000000" w:themeColor="text1"/>
                <w:sz w:val="24"/>
                <w:szCs w:val="32"/>
                <w14:textFill>
                  <w14:solidFill>
                    <w14:schemeClr w14:val="tx1"/>
                  </w14:solidFill>
                </w14:textFill>
              </w:rPr>
              <w:t>满足相应卫生防护距离要求。本项目卫生防护距离范围图见</w:t>
            </w:r>
            <w:r>
              <w:rPr>
                <w:rFonts w:hint="eastAsia" w:cs="Times New Roman"/>
                <w:color w:val="000000" w:themeColor="text1"/>
                <w:sz w:val="24"/>
                <w:szCs w:val="32"/>
                <w:lang w:val="en-US" w:eastAsia="zh-CN"/>
                <w14:textFill>
                  <w14:solidFill>
                    <w14:schemeClr w14:val="tx1"/>
                  </w14:solidFill>
                </w14:textFill>
              </w:rPr>
              <w:t>附</w:t>
            </w:r>
            <w:r>
              <w:rPr>
                <w:rFonts w:hint="default" w:ascii="Times New Roman" w:hAnsi="Times New Roman" w:cs="Times New Roman"/>
                <w:color w:val="000000" w:themeColor="text1"/>
                <w:sz w:val="24"/>
                <w:szCs w:val="32"/>
                <w14:textFill>
                  <w14:solidFill>
                    <w14:schemeClr w14:val="tx1"/>
                  </w14:solidFill>
                </w14:textFill>
              </w:rPr>
              <w:t>图</w:t>
            </w:r>
            <w:r>
              <w:rPr>
                <w:rFonts w:hint="eastAsia" w:cs="Times New Roman"/>
                <w:color w:val="000000" w:themeColor="text1"/>
                <w:sz w:val="24"/>
                <w:szCs w:val="32"/>
                <w:lang w:val="en-US" w:eastAsia="zh-CN"/>
                <w14:textFill>
                  <w14:solidFill>
                    <w14:schemeClr w14:val="tx1"/>
                  </w14:solidFill>
                </w14:textFill>
              </w:rPr>
              <w:t>5</w:t>
            </w:r>
            <w:r>
              <w:rPr>
                <w:rFonts w:hint="default" w:ascii="Times New Roman" w:hAnsi="Times New Roman" w:cs="Times New Roman"/>
                <w:color w:val="000000" w:themeColor="text1"/>
                <w:sz w:val="24"/>
                <w:szCs w:val="32"/>
                <w14:textFill>
                  <w14:solidFill>
                    <w14:schemeClr w14:val="tx1"/>
                  </w14:solidFill>
                </w14:textFill>
              </w:rPr>
              <w:t>。</w:t>
            </w:r>
          </w:p>
          <w:p w14:paraId="50D62133">
            <w:pPr>
              <w:keepNext/>
              <w:keepLines/>
              <w:widowControl/>
              <w:numPr>
                <w:ilvl w:val="0"/>
                <w:numId w:val="0"/>
              </w:numPr>
              <w:adjustRightInd w:val="0"/>
              <w:snapToGrid w:val="0"/>
              <w:spacing w:line="360" w:lineRule="auto"/>
              <w:ind w:leftChars="200"/>
              <w:jc w:val="left"/>
              <w:outlineLvl w:val="1"/>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 w:val="24"/>
                <w:szCs w:val="24"/>
                <w:highlight w:val="none"/>
                <w14:textFill>
                  <w14:solidFill>
                    <w14:schemeClr w14:val="tx1"/>
                  </w14:solidFill>
                </w14:textFill>
              </w:rPr>
              <w:t>、监测计划</w:t>
            </w:r>
          </w:p>
          <w:p w14:paraId="7CA49361">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根据《排污许可证申请与核发技术规范 总则》（HJ942-2018）</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《排污单位自行监测技术指南 总则》（HJ819-2017）</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和《排污许可证申请与核发技术规范  磷肥、钾肥、复混肥料、有机肥料及微生物肥料工业》（HJ864.2-2018）、《</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排污单位自行监测技术指南</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磷肥、钾肥、复混肥料、有机肥料</w:t>
            </w:r>
            <w:r>
              <w:rPr>
                <w:rFonts w:hint="eastAsia" w:cs="Times New Roman"/>
                <w:color w:val="000000" w:themeColor="text1"/>
                <w:sz w:val="24"/>
                <w:szCs w:val="24"/>
                <w:highlight w:val="none"/>
                <w:lang w:val="en-US" w:eastAsia="zh-CN"/>
                <w14:textFill>
                  <w14:solidFill>
                    <w14:schemeClr w14:val="tx1"/>
                  </w14:solidFill>
                </w14:textFill>
              </w:rPr>
              <w:t>和</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微生物肥料》（HJ1088-2020）</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，本项目运营期废气监测情况如下：</w:t>
            </w:r>
          </w:p>
          <w:p w14:paraId="2EF62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 w:val="21"/>
                <w:szCs w:val="21"/>
                <w14:textFill>
                  <w14:solidFill>
                    <w14:schemeClr w14:val="tx1"/>
                  </w14:solidFill>
                </w14:textFill>
              </w:rPr>
              <w:t xml:space="preserve">    运营期污染源监测内容及计划</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28"/>
              <w:gridCol w:w="1746"/>
              <w:gridCol w:w="1322"/>
              <w:gridCol w:w="1115"/>
              <w:gridCol w:w="2569"/>
            </w:tblGrid>
            <w:tr w14:paraId="0E33F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09" w:type="pct"/>
                  <w:gridSpan w:val="2"/>
                  <w:noWrap w:val="0"/>
                  <w:vAlign w:val="center"/>
                </w:tcPr>
                <w:p w14:paraId="6C347CF0">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监测要素</w:t>
                  </w:r>
                </w:p>
              </w:tc>
              <w:tc>
                <w:tcPr>
                  <w:tcW w:w="1057" w:type="pct"/>
                  <w:noWrap w:val="0"/>
                  <w:vAlign w:val="center"/>
                </w:tcPr>
                <w:p w14:paraId="22E87E13">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监测点位</w:t>
                  </w:r>
                </w:p>
              </w:tc>
              <w:tc>
                <w:tcPr>
                  <w:tcW w:w="800" w:type="pct"/>
                  <w:noWrap w:val="0"/>
                  <w:vAlign w:val="center"/>
                </w:tcPr>
                <w:p w14:paraId="24E43FEE">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监测项目</w:t>
                  </w:r>
                </w:p>
              </w:tc>
              <w:tc>
                <w:tcPr>
                  <w:tcW w:w="675" w:type="pct"/>
                  <w:noWrap w:val="0"/>
                  <w:vAlign w:val="center"/>
                </w:tcPr>
                <w:p w14:paraId="314BFB6B">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监测频次</w:t>
                  </w:r>
                </w:p>
              </w:tc>
              <w:tc>
                <w:tcPr>
                  <w:tcW w:w="1556" w:type="pct"/>
                  <w:noWrap w:val="0"/>
                  <w:vAlign w:val="center"/>
                </w:tcPr>
                <w:p w14:paraId="18BEA5FD">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r>
            <w:tr w14:paraId="2E31A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08" w:type="pct"/>
                  <w:vMerge w:val="restart"/>
                  <w:noWrap w:val="0"/>
                  <w:vAlign w:val="center"/>
                </w:tcPr>
                <w:p w14:paraId="2213242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污染源监测</w:t>
                  </w:r>
                </w:p>
              </w:tc>
              <w:tc>
                <w:tcPr>
                  <w:tcW w:w="501" w:type="pct"/>
                  <w:vMerge w:val="restart"/>
                  <w:noWrap w:val="0"/>
                  <w:vAlign w:val="center"/>
                </w:tcPr>
                <w:p w14:paraId="574B47B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有组织</w:t>
                  </w:r>
                </w:p>
              </w:tc>
              <w:tc>
                <w:tcPr>
                  <w:tcW w:w="1057" w:type="pct"/>
                  <w:noWrap w:val="0"/>
                  <w:vAlign w:val="center"/>
                </w:tcPr>
                <w:p w14:paraId="302A869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排气筒（DA001）</w:t>
                  </w:r>
                </w:p>
              </w:tc>
              <w:tc>
                <w:tcPr>
                  <w:tcW w:w="800" w:type="pct"/>
                  <w:noWrap w:val="0"/>
                  <w:vAlign w:val="center"/>
                </w:tcPr>
                <w:p w14:paraId="3351715A">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675" w:type="pct"/>
                  <w:noWrap w:val="0"/>
                  <w:vAlign w:val="center"/>
                </w:tcPr>
                <w:p w14:paraId="0D9CD1B8">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1次/</w:t>
                  </w:r>
                  <w:r>
                    <w:rPr>
                      <w:rFonts w:hint="default" w:ascii="Times New Roman" w:hAnsi="Times New Roman" w:cs="Times New Roman"/>
                      <w:color w:val="000000" w:themeColor="text1"/>
                      <w:szCs w:val="21"/>
                      <w:lang w:val="en-US" w:eastAsia="zh-CN"/>
                      <w14:textFill>
                        <w14:solidFill>
                          <w14:schemeClr w14:val="tx1"/>
                        </w14:solidFill>
                      </w14:textFill>
                    </w:rPr>
                    <w:t>半年</w:t>
                  </w:r>
                </w:p>
              </w:tc>
              <w:tc>
                <w:tcPr>
                  <w:tcW w:w="1556" w:type="pct"/>
                  <w:vMerge w:val="restart"/>
                  <w:noWrap w:val="0"/>
                  <w:vAlign w:val="center"/>
                </w:tcPr>
                <w:p w14:paraId="23C465B7">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《大气污染物综合排放标准》（GB16297-1996）表</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中有组织和无组织排放限值要求</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满足《恶臭污染物排放标准》（GB14554-93）表1及表2中排放标准限值</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b w:val="0"/>
                      <w:bCs w:val="0"/>
                      <w:color w:val="auto"/>
                      <w:szCs w:val="21"/>
                    </w:rPr>
                    <w:t>《陕西省锅炉大气污染物排放标准》（DB61/1226-2018）表4燃油锅炉大气污染物排放浓度限值</w:t>
                  </w:r>
                  <w:r>
                    <w:rPr>
                      <w:rFonts w:hint="eastAsia" w:ascii="Times New Roman" w:hAnsi="Times New Roman" w:eastAsia="宋体" w:cs="Times New Roman"/>
                      <w:b w:val="0"/>
                      <w:bCs w:val="0"/>
                      <w:color w:val="auto"/>
                      <w:szCs w:val="21"/>
                      <w:lang w:eastAsia="zh-CN"/>
                    </w:rPr>
                    <w:t>。</w:t>
                  </w:r>
                </w:p>
              </w:tc>
            </w:tr>
            <w:tr w14:paraId="027E6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08" w:type="pct"/>
                  <w:vMerge w:val="continue"/>
                  <w:noWrap w:val="0"/>
                  <w:vAlign w:val="center"/>
                </w:tcPr>
                <w:p w14:paraId="26D0052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01" w:type="pct"/>
                  <w:vMerge w:val="continue"/>
                  <w:noWrap w:val="0"/>
                  <w:vAlign w:val="center"/>
                </w:tcPr>
                <w:p w14:paraId="7721AD3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057" w:type="pct"/>
                  <w:noWrap w:val="0"/>
                  <w:vAlign w:val="center"/>
                </w:tcPr>
                <w:p w14:paraId="0800A19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排气筒（DA002）</w:t>
                  </w:r>
                </w:p>
              </w:tc>
              <w:tc>
                <w:tcPr>
                  <w:tcW w:w="800" w:type="pct"/>
                  <w:noWrap w:val="0"/>
                  <w:vAlign w:val="center"/>
                </w:tcPr>
                <w:p w14:paraId="48EA610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S</w:t>
                  </w:r>
                </w:p>
              </w:tc>
              <w:tc>
                <w:tcPr>
                  <w:tcW w:w="675" w:type="pct"/>
                  <w:noWrap w:val="0"/>
                  <w:vAlign w:val="center"/>
                </w:tcPr>
                <w:p w14:paraId="6B155BA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1次/</w:t>
                  </w:r>
                  <w:r>
                    <w:rPr>
                      <w:rFonts w:hint="default" w:ascii="Times New Roman" w:hAnsi="Times New Roman" w:cs="Times New Roman"/>
                      <w:color w:val="000000" w:themeColor="text1"/>
                      <w:szCs w:val="21"/>
                      <w:lang w:val="en-US" w:eastAsia="zh-CN"/>
                      <w14:textFill>
                        <w14:solidFill>
                          <w14:schemeClr w14:val="tx1"/>
                        </w14:solidFill>
                      </w14:textFill>
                    </w:rPr>
                    <w:t>半年</w:t>
                  </w:r>
                </w:p>
              </w:tc>
              <w:tc>
                <w:tcPr>
                  <w:tcW w:w="1556" w:type="pct"/>
                  <w:vMerge w:val="continue"/>
                  <w:noWrap w:val="0"/>
                  <w:vAlign w:val="center"/>
                </w:tcPr>
                <w:p w14:paraId="5046AC8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E1A9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08" w:type="pct"/>
                  <w:vMerge w:val="continue"/>
                  <w:noWrap w:val="0"/>
                  <w:vAlign w:val="center"/>
                </w:tcPr>
                <w:p w14:paraId="225CD1E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01" w:type="pct"/>
                  <w:vMerge w:val="continue"/>
                  <w:noWrap w:val="0"/>
                  <w:vAlign w:val="center"/>
                </w:tcPr>
                <w:p w14:paraId="72ED663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057" w:type="pct"/>
                  <w:noWrap w:val="0"/>
                  <w:vAlign w:val="center"/>
                </w:tcPr>
                <w:p w14:paraId="5CB6B41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排气筒（DA002）</w:t>
                  </w:r>
                </w:p>
              </w:tc>
              <w:tc>
                <w:tcPr>
                  <w:tcW w:w="800" w:type="pct"/>
                  <w:noWrap w:val="0"/>
                  <w:vAlign w:val="center"/>
                </w:tcPr>
                <w:p w14:paraId="0DE17CF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二氧化硫</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氮氧化物</w:t>
                  </w:r>
                </w:p>
              </w:tc>
              <w:tc>
                <w:tcPr>
                  <w:tcW w:w="675" w:type="pct"/>
                  <w:noWrap w:val="0"/>
                  <w:vAlign w:val="center"/>
                </w:tcPr>
                <w:p w14:paraId="0E37144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val="0"/>
                      <w:bCs w:val="0"/>
                      <w:color w:val="auto"/>
                      <w:szCs w:val="21"/>
                    </w:rPr>
                    <w:t>1次/年</w:t>
                  </w:r>
                </w:p>
              </w:tc>
              <w:tc>
                <w:tcPr>
                  <w:tcW w:w="1556" w:type="pct"/>
                  <w:vMerge w:val="continue"/>
                  <w:noWrap w:val="0"/>
                  <w:vAlign w:val="center"/>
                </w:tcPr>
                <w:p w14:paraId="30517E1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6020A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08" w:type="pct"/>
                  <w:vMerge w:val="continue"/>
                  <w:noWrap w:val="0"/>
                  <w:vAlign w:val="center"/>
                </w:tcPr>
                <w:p w14:paraId="15DDF67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01" w:type="pct"/>
                  <w:noWrap w:val="0"/>
                  <w:vAlign w:val="center"/>
                </w:tcPr>
                <w:p w14:paraId="7E4CB3E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无组织</w:t>
                  </w:r>
                </w:p>
              </w:tc>
              <w:tc>
                <w:tcPr>
                  <w:tcW w:w="1057" w:type="pct"/>
                  <w:noWrap w:val="0"/>
                  <w:vAlign w:val="center"/>
                </w:tcPr>
                <w:p w14:paraId="02AE94B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厂界上风向1处，下风向3处</w:t>
                  </w:r>
                </w:p>
              </w:tc>
              <w:tc>
                <w:tcPr>
                  <w:tcW w:w="800" w:type="pct"/>
                  <w:noWrap w:val="0"/>
                  <w:vAlign w:val="center"/>
                </w:tcPr>
                <w:p w14:paraId="794940D3">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S、臭气浓度</w:t>
                  </w:r>
                  <w:r>
                    <w:rPr>
                      <w:rFonts w:hint="eastAsia" w:cs="Times New Roman"/>
                      <w:color w:val="000000" w:themeColor="text1"/>
                      <w:szCs w:val="21"/>
                      <w:lang w:val="en-US" w:eastAsia="zh-CN"/>
                      <w14:textFill>
                        <w14:solidFill>
                          <w14:schemeClr w14:val="tx1"/>
                        </w14:solidFill>
                      </w14:textFill>
                    </w:rPr>
                    <w:t>、甲醇</w:t>
                  </w:r>
                </w:p>
              </w:tc>
              <w:tc>
                <w:tcPr>
                  <w:tcW w:w="675" w:type="pct"/>
                  <w:noWrap w:val="0"/>
                  <w:vAlign w:val="center"/>
                </w:tcPr>
                <w:p w14:paraId="704B9D14">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1次/</w:t>
                  </w:r>
                  <w:r>
                    <w:rPr>
                      <w:rFonts w:hint="default" w:ascii="Times New Roman" w:hAnsi="Times New Roman" w:cs="Times New Roman"/>
                      <w:color w:val="000000" w:themeColor="text1"/>
                      <w:szCs w:val="21"/>
                      <w:lang w:val="en-US" w:eastAsia="zh-CN"/>
                      <w14:textFill>
                        <w14:solidFill>
                          <w14:schemeClr w14:val="tx1"/>
                        </w14:solidFill>
                      </w14:textFill>
                    </w:rPr>
                    <w:t>半年</w:t>
                  </w:r>
                </w:p>
              </w:tc>
              <w:tc>
                <w:tcPr>
                  <w:tcW w:w="1556" w:type="pct"/>
                  <w:vMerge w:val="continue"/>
                  <w:noWrap w:val="0"/>
                  <w:vAlign w:val="center"/>
                </w:tcPr>
                <w:p w14:paraId="44FDADF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04341D29">
            <w:pPr>
              <w:keepNext/>
              <w:keepLines/>
              <w:widowControl/>
              <w:adjustRightInd w:val="0"/>
              <w:snapToGrid w:val="0"/>
              <w:spacing w:line="360" w:lineRule="auto"/>
              <w:jc w:val="left"/>
              <w:outlineLvl w:val="1"/>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二、运营期废水环境影响和保护措施</w:t>
            </w:r>
          </w:p>
          <w:p w14:paraId="20D048FB">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1、地表水污染工序及源强分析</w:t>
            </w:r>
          </w:p>
          <w:p w14:paraId="0699663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000000" w:themeColor="text1"/>
                <w:sz w:val="24"/>
                <w:lang w:val="en-US" w:eastAsia="zh-CN" w:bidi="ar"/>
                <w14:textFill>
                  <w14:solidFill>
                    <w14:schemeClr w14:val="tx1"/>
                  </w14:solidFill>
                </w14:textFill>
              </w:rPr>
            </w:pPr>
            <w:r>
              <w:rPr>
                <w:rFonts w:hint="default" w:ascii="Times New Roman" w:hAnsi="Times New Roman" w:cs="Times New Roman"/>
                <w:b/>
                <w:bCs/>
                <w:color w:val="000000" w:themeColor="text1"/>
                <w:sz w:val="24"/>
                <w:lang w:val="en-US" w:eastAsia="zh-CN" w:bidi="ar"/>
                <w14:textFill>
                  <w14:solidFill>
                    <w14:schemeClr w14:val="tx1"/>
                  </w14:solidFill>
                </w14:textFill>
              </w:rPr>
              <w:t>1）</w:t>
            </w:r>
            <w:r>
              <w:rPr>
                <w:rFonts w:hint="default" w:ascii="Times New Roman" w:hAnsi="Times New Roman" w:cs="Times New Roman"/>
                <w:b/>
                <w:bCs/>
                <w:color w:val="000000" w:themeColor="text1"/>
                <w:sz w:val="24"/>
                <w:lang w:bidi="ar"/>
                <w14:textFill>
                  <w14:solidFill>
                    <w14:schemeClr w14:val="tx1"/>
                  </w14:solidFill>
                </w14:textFill>
              </w:rPr>
              <w:t>废水</w:t>
            </w:r>
            <w:r>
              <w:rPr>
                <w:rFonts w:hint="default" w:ascii="Times New Roman" w:hAnsi="Times New Roman" w:cs="Times New Roman"/>
                <w:b/>
                <w:bCs/>
                <w:color w:val="000000" w:themeColor="text1"/>
                <w:sz w:val="24"/>
                <w:lang w:val="en-US" w:eastAsia="zh-CN" w:bidi="ar"/>
                <w14:textFill>
                  <w14:solidFill>
                    <w14:schemeClr w14:val="tx1"/>
                  </w14:solidFill>
                </w14:textFill>
              </w:rPr>
              <w:t>产生情况</w:t>
            </w:r>
          </w:p>
          <w:p w14:paraId="61386D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本项目废水主要包括</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生活污水</w:t>
            </w:r>
            <w:r>
              <w:rPr>
                <w:rFonts w:hint="eastAsia" w:cs="Times New Roman"/>
                <w:b w:val="0"/>
                <w:bCs w:val="0"/>
                <w:color w:val="000000" w:themeColor="text1"/>
                <w:kern w:val="0"/>
                <w:sz w:val="24"/>
                <w:lang w:val="en-US" w:eastAsia="zh-CN"/>
                <w14:textFill>
                  <w14:solidFill>
                    <w14:schemeClr w14:val="tx1"/>
                  </w14:solidFill>
                </w14:textFill>
              </w:rPr>
              <w:t>、罐体清洗废水及</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堆肥过程产生的少量渗滤液。</w:t>
            </w:r>
          </w:p>
          <w:p w14:paraId="60183D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lang w:val="en-US" w:eastAsia="zh-CN" w:bidi="ar"/>
                <w14:textFill>
                  <w14:solidFill>
                    <w14:schemeClr w14:val="tx1"/>
                  </w14:solidFill>
                </w14:textFill>
              </w:rPr>
              <w:t>①生活污水</w:t>
            </w:r>
          </w:p>
          <w:p w14:paraId="0931C4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本项目劳动定员为1</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人</w:t>
            </w:r>
            <w:r>
              <w:rPr>
                <w:rFonts w:hint="default" w:ascii="Times New Roman" w:hAnsi="Times New Roman" w:eastAsia="宋体" w:cs="Times New Roman"/>
                <w:color w:val="000000" w:themeColor="text1"/>
                <w:sz w:val="24"/>
                <w:szCs w:val="24"/>
                <w14:textFill>
                  <w14:solidFill>
                    <w14:schemeClr w14:val="tx1"/>
                  </w14:solidFill>
                </w14:textFill>
              </w:rPr>
              <w:t>，厂内不提供食宿</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年工作300天。</w:t>
            </w:r>
            <w:r>
              <w:rPr>
                <w:rFonts w:hint="default" w:ascii="Times New Roman" w:hAnsi="Times New Roman" w:eastAsia="宋体" w:cs="Times New Roman"/>
                <w:color w:val="000000" w:themeColor="text1"/>
                <w:sz w:val="24"/>
                <w:szCs w:val="24"/>
                <w14:textFill>
                  <w14:solidFill>
                    <w14:schemeClr w14:val="tx1"/>
                  </w14:solidFill>
                </w14:textFill>
              </w:rPr>
              <w:t>根据《行业用水定额》（陕西省地方标准 2020修订版）要求并结合本项目特点，</w:t>
            </w:r>
            <w:r>
              <w:rPr>
                <w:rFonts w:hint="default" w:ascii="Times New Roman" w:hAnsi="Times New Roman" w:cs="Times New Roman"/>
                <w:color w:val="000000" w:themeColor="text1"/>
                <w:sz w:val="24"/>
                <w14:textFill>
                  <w14:solidFill>
                    <w14:schemeClr w14:val="tx1"/>
                  </w14:solidFill>
                </w14:textFill>
              </w:rPr>
              <w:t>员工生活用水定额取</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L/人•d，以300天计算，则用水量为0.</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75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/a，按污水产生系数0.8</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计，则污水产生量</w:t>
            </w:r>
            <w:r>
              <w:rPr>
                <w:rFonts w:hint="default" w:ascii="Times New Roman" w:hAnsi="Times New Roman" w:cs="Times New Roman"/>
                <w:color w:val="000000" w:themeColor="text1"/>
                <w:sz w:val="24"/>
                <w:lang w:val="en-US" w:eastAsia="zh-CN"/>
                <w14:textFill>
                  <w14:solidFill>
                    <w14:schemeClr w14:val="tx1"/>
                  </w14:solidFill>
                </w14:textFill>
              </w:rPr>
              <w:t>为</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213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63.9</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生活污水</w:t>
            </w:r>
            <w:r>
              <w:rPr>
                <w:rFonts w:hint="eastAsia" w:ascii="Times New Roman" w:hAnsi="Times New Roman" w:cs="Times New Roman"/>
                <w:color w:val="000000" w:themeColor="text1"/>
                <w:sz w:val="24"/>
                <w:lang w:val="en-US" w:eastAsia="zh-CN"/>
                <w14:textFill>
                  <w14:solidFill>
                    <w14:schemeClr w14:val="tx1"/>
                  </w14:solidFill>
                </w14:textFill>
              </w:rPr>
              <w:t>经化粪池</w:t>
            </w:r>
            <w:r>
              <w:rPr>
                <w:rFonts w:hint="default" w:ascii="Times New Roman" w:hAnsi="Times New Roman" w:cs="Times New Roman"/>
                <w:color w:val="000000" w:themeColor="text1"/>
                <w:sz w:val="24"/>
                <w:lang w:val="en-US" w:eastAsia="zh-CN"/>
                <w14:textFill>
                  <w14:solidFill>
                    <w14:schemeClr w14:val="tx1"/>
                  </w14:solidFill>
                </w14:textFill>
              </w:rPr>
              <w:t>处理后拉运堆肥。</w:t>
            </w:r>
          </w:p>
          <w:p w14:paraId="70041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1"/>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 xml:space="preserve">表4-8    </w:t>
            </w:r>
            <w:r>
              <w:rPr>
                <w:rFonts w:hint="default" w:ascii="Times New Roman" w:hAnsi="Times New Roman" w:eastAsia="宋体" w:cs="Times New Roman"/>
                <w:b/>
                <w:color w:val="000000" w:themeColor="text1"/>
                <w:sz w:val="21"/>
                <w:szCs w:val="21"/>
                <w14:textFill>
                  <w14:solidFill>
                    <w14:schemeClr w14:val="tx1"/>
                  </w14:solidFill>
                </w14:textFill>
              </w:rPr>
              <w:t>废水污染源源强核算结果一览表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8"/>
              <w:gridCol w:w="1019"/>
              <w:gridCol w:w="1164"/>
              <w:gridCol w:w="1311"/>
              <w:gridCol w:w="1311"/>
              <w:gridCol w:w="1164"/>
              <w:gridCol w:w="1160"/>
            </w:tblGrid>
            <w:tr w14:paraId="50AE9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683" w:type="pct"/>
                  <w:vMerge w:val="restart"/>
                  <w:noWrap w:val="0"/>
                  <w:vAlign w:val="center"/>
                </w:tcPr>
                <w:p w14:paraId="40874A03">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污水</w:t>
                  </w:r>
                </w:p>
              </w:tc>
              <w:tc>
                <w:tcPr>
                  <w:tcW w:w="617" w:type="pct"/>
                  <w:vMerge w:val="restart"/>
                  <w:noWrap w:val="0"/>
                  <w:vAlign w:val="center"/>
                </w:tcPr>
                <w:p w14:paraId="023022D0">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污染物</w:t>
                  </w:r>
                </w:p>
              </w:tc>
              <w:tc>
                <w:tcPr>
                  <w:tcW w:w="1499" w:type="pct"/>
                  <w:gridSpan w:val="2"/>
                  <w:noWrap w:val="0"/>
                  <w:vAlign w:val="center"/>
                </w:tcPr>
                <w:p w14:paraId="26A611D4">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产生情况</w:t>
                  </w:r>
                </w:p>
              </w:tc>
              <w:tc>
                <w:tcPr>
                  <w:tcW w:w="794" w:type="pct"/>
                  <w:vMerge w:val="restart"/>
                  <w:noWrap w:val="0"/>
                  <w:vAlign w:val="center"/>
                </w:tcPr>
                <w:p w14:paraId="6FB07284">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处理措施</w:t>
                  </w:r>
                </w:p>
              </w:tc>
              <w:tc>
                <w:tcPr>
                  <w:tcW w:w="1407" w:type="pct"/>
                  <w:gridSpan w:val="2"/>
                  <w:noWrap w:val="0"/>
                  <w:vAlign w:val="center"/>
                </w:tcPr>
                <w:p w14:paraId="133F31E7">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排放情况</w:t>
                  </w:r>
                </w:p>
              </w:tc>
            </w:tr>
            <w:tr w14:paraId="3768C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683" w:type="pct"/>
                  <w:vMerge w:val="continue"/>
                  <w:noWrap w:val="0"/>
                  <w:vAlign w:val="center"/>
                </w:tcPr>
                <w:p w14:paraId="12D985BB">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617" w:type="pct"/>
                  <w:vMerge w:val="continue"/>
                  <w:noWrap w:val="0"/>
                  <w:vAlign w:val="center"/>
                </w:tcPr>
                <w:p w14:paraId="41B57ADB">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705" w:type="pct"/>
                  <w:noWrap w:val="0"/>
                  <w:vAlign w:val="center"/>
                </w:tcPr>
                <w:p w14:paraId="0B6B463B">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产生浓度</w:t>
                  </w:r>
                </w:p>
              </w:tc>
              <w:tc>
                <w:tcPr>
                  <w:tcW w:w="794" w:type="pct"/>
                  <w:noWrap w:val="0"/>
                  <w:vAlign w:val="center"/>
                </w:tcPr>
                <w:p w14:paraId="718BD1BE">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产生量</w:t>
                  </w:r>
                </w:p>
              </w:tc>
              <w:tc>
                <w:tcPr>
                  <w:tcW w:w="794" w:type="pct"/>
                  <w:vMerge w:val="continue"/>
                  <w:noWrap w:val="0"/>
                  <w:vAlign w:val="center"/>
                </w:tcPr>
                <w:p w14:paraId="10E68B0A">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p>
              </w:tc>
              <w:tc>
                <w:tcPr>
                  <w:tcW w:w="705" w:type="pct"/>
                  <w:noWrap w:val="0"/>
                  <w:vAlign w:val="center"/>
                </w:tcPr>
                <w:p w14:paraId="090A7EAF">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排放浓度</w:t>
                  </w:r>
                </w:p>
              </w:tc>
              <w:tc>
                <w:tcPr>
                  <w:tcW w:w="702" w:type="pct"/>
                  <w:noWrap w:val="0"/>
                  <w:vAlign w:val="center"/>
                </w:tcPr>
                <w:p w14:paraId="620025E5">
                  <w:pPr>
                    <w:widowControl/>
                    <w:spacing w:line="32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排放量</w:t>
                  </w:r>
                </w:p>
              </w:tc>
            </w:tr>
            <w:tr w14:paraId="4CDF1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83" w:type="pct"/>
                  <w:vMerge w:val="restart"/>
                  <w:noWrap w:val="0"/>
                  <w:vAlign w:val="center"/>
                </w:tcPr>
                <w:p w14:paraId="20416041">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p>
                <w:p w14:paraId="6B42626F">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63.9</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617" w:type="pct"/>
                  <w:noWrap w:val="0"/>
                  <w:vAlign w:val="center"/>
                </w:tcPr>
                <w:p w14:paraId="7346D6BB">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COD</w:t>
                  </w:r>
                </w:p>
              </w:tc>
              <w:tc>
                <w:tcPr>
                  <w:tcW w:w="705" w:type="pct"/>
                  <w:noWrap w:val="0"/>
                  <w:vAlign w:val="center"/>
                </w:tcPr>
                <w:p w14:paraId="05A54028">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350mg/L</w:t>
                  </w:r>
                </w:p>
              </w:tc>
              <w:tc>
                <w:tcPr>
                  <w:tcW w:w="794" w:type="pct"/>
                  <w:noWrap w:val="0"/>
                  <w:vAlign w:val="center"/>
                </w:tcPr>
                <w:p w14:paraId="70C92CD3">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02</w:t>
                  </w: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t/a</w:t>
                  </w:r>
                </w:p>
              </w:tc>
              <w:tc>
                <w:tcPr>
                  <w:tcW w:w="794" w:type="pct"/>
                  <w:vMerge w:val="restart"/>
                  <w:noWrap w:val="0"/>
                  <w:vAlign w:val="center"/>
                </w:tcPr>
                <w:p w14:paraId="6A7CE3E2">
                  <w:pPr>
                    <w:widowControl/>
                    <w:spacing w:line="32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生活污水经</w:t>
                  </w:r>
                  <w:r>
                    <w:rPr>
                      <w:rFonts w:hint="eastAsia" w:ascii="Times New Roman" w:hAnsi="Times New Roman" w:eastAsia="宋体" w:cs="Times New Roman"/>
                      <w:color w:val="000000" w:themeColor="text1"/>
                      <w:szCs w:val="21"/>
                      <w:lang w:val="en-US" w:eastAsia="zh-CN"/>
                      <w14:textFill>
                        <w14:solidFill>
                          <w14:schemeClr w14:val="tx1"/>
                        </w14:solidFill>
                      </w14:textFill>
                    </w:rPr>
                    <w:t>厂区</w:t>
                  </w:r>
                  <w:r>
                    <w:rPr>
                      <w:rFonts w:hint="default" w:ascii="Times New Roman" w:hAnsi="Times New Roman" w:eastAsia="宋体" w:cs="Times New Roman"/>
                      <w:color w:val="000000" w:themeColor="text1"/>
                      <w:szCs w:val="21"/>
                      <w14:textFill>
                        <w14:solidFill>
                          <w14:schemeClr w14:val="tx1"/>
                        </w14:solidFill>
                      </w14:textFill>
                    </w:rPr>
                    <w:t>化粪池处理后</w:t>
                  </w:r>
                  <w:r>
                    <w:rPr>
                      <w:rFonts w:hint="eastAsia" w:ascii="Times New Roman" w:hAnsi="Times New Roman" w:cs="Times New Roman"/>
                      <w:color w:val="000000" w:themeColor="text1"/>
                      <w:szCs w:val="21"/>
                      <w:lang w:val="en-US" w:eastAsia="zh-CN"/>
                      <w14:textFill>
                        <w14:solidFill>
                          <w14:schemeClr w14:val="tx1"/>
                        </w14:solidFill>
                      </w14:textFill>
                    </w:rPr>
                    <w:t>拉运堆肥</w:t>
                  </w:r>
                </w:p>
              </w:tc>
              <w:tc>
                <w:tcPr>
                  <w:tcW w:w="705" w:type="pct"/>
                  <w:noWrap w:val="0"/>
                  <w:vAlign w:val="center"/>
                </w:tcPr>
                <w:p w14:paraId="17BA3184">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300mg/L</w:t>
                  </w:r>
                </w:p>
              </w:tc>
              <w:tc>
                <w:tcPr>
                  <w:tcW w:w="702" w:type="pct"/>
                  <w:noWrap w:val="0"/>
                  <w:vAlign w:val="center"/>
                </w:tcPr>
                <w:p w14:paraId="0866112A">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019</w:t>
                  </w:r>
                  <w:r>
                    <w:rPr>
                      <w:rFonts w:hint="default" w:ascii="Times New Roman" w:hAnsi="Times New Roman" w:eastAsia="宋体" w:cs="Times New Roman"/>
                      <w:color w:val="000000" w:themeColor="text1"/>
                      <w:szCs w:val="21"/>
                      <w14:textFill>
                        <w14:solidFill>
                          <w14:schemeClr w14:val="tx1"/>
                        </w14:solidFill>
                      </w14:textFill>
                    </w:rPr>
                    <w:t>t/a</w:t>
                  </w:r>
                </w:p>
              </w:tc>
            </w:tr>
            <w:tr w14:paraId="1FEB1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83" w:type="pct"/>
                  <w:vMerge w:val="continue"/>
                  <w:noWrap w:val="0"/>
                  <w:vAlign w:val="center"/>
                </w:tcPr>
                <w:p w14:paraId="1E07CAA2">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617" w:type="pct"/>
                  <w:noWrap w:val="0"/>
                  <w:vAlign w:val="center"/>
                </w:tcPr>
                <w:p w14:paraId="31232088">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BOD</w:t>
                  </w:r>
                  <w:r>
                    <w:rPr>
                      <w:rFonts w:hint="default" w:ascii="Times New Roman" w:hAnsi="Times New Roman" w:eastAsia="宋体" w:cs="Times New Roman"/>
                      <w:bCs/>
                      <w:color w:val="000000" w:themeColor="text1"/>
                      <w:szCs w:val="21"/>
                      <w:vertAlign w:val="subscript"/>
                      <w14:textFill>
                        <w14:solidFill>
                          <w14:schemeClr w14:val="tx1"/>
                        </w14:solidFill>
                      </w14:textFill>
                    </w:rPr>
                    <w:t>5</w:t>
                  </w:r>
                </w:p>
              </w:tc>
              <w:tc>
                <w:tcPr>
                  <w:tcW w:w="705" w:type="pct"/>
                  <w:noWrap w:val="0"/>
                  <w:vAlign w:val="center"/>
                </w:tcPr>
                <w:p w14:paraId="7B67F535">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180</w:t>
                  </w:r>
                  <w:r>
                    <w:rPr>
                      <w:rFonts w:hint="default" w:ascii="Times New Roman" w:hAnsi="Times New Roman" w:eastAsia="宋体" w:cs="Times New Roman"/>
                      <w:color w:val="000000" w:themeColor="text1"/>
                      <w:szCs w:val="21"/>
                      <w14:textFill>
                        <w14:solidFill>
                          <w14:schemeClr w14:val="tx1"/>
                        </w14:solidFill>
                      </w14:textFill>
                    </w:rPr>
                    <w:t>mg/L</w:t>
                  </w:r>
                </w:p>
              </w:tc>
              <w:tc>
                <w:tcPr>
                  <w:tcW w:w="794" w:type="pct"/>
                  <w:noWrap w:val="0"/>
                  <w:vAlign w:val="center"/>
                </w:tcPr>
                <w:p w14:paraId="440B4687">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01</w:t>
                  </w:r>
                  <w:r>
                    <w:rPr>
                      <w:rFonts w:hint="default" w:ascii="Times New Roman" w:hAnsi="Times New Roman" w:eastAsia="宋体" w:cs="Times New Roman"/>
                      <w:color w:val="000000" w:themeColor="text1"/>
                      <w:szCs w:val="21"/>
                      <w14:textFill>
                        <w14:solidFill>
                          <w14:schemeClr w14:val="tx1"/>
                        </w14:solidFill>
                      </w14:textFill>
                    </w:rPr>
                    <w:t>1t/a</w:t>
                  </w:r>
                </w:p>
              </w:tc>
              <w:tc>
                <w:tcPr>
                  <w:tcW w:w="794" w:type="pct"/>
                  <w:vMerge w:val="continue"/>
                  <w:noWrap w:val="0"/>
                  <w:vAlign w:val="center"/>
                </w:tcPr>
                <w:p w14:paraId="6DA40BE7">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705" w:type="pct"/>
                  <w:noWrap w:val="0"/>
                  <w:vAlign w:val="center"/>
                </w:tcPr>
                <w:p w14:paraId="68FE89F4">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150</w:t>
                  </w:r>
                  <w:r>
                    <w:rPr>
                      <w:rFonts w:hint="default" w:ascii="Times New Roman" w:hAnsi="Times New Roman" w:eastAsia="宋体" w:cs="Times New Roman"/>
                      <w:color w:val="000000" w:themeColor="text1"/>
                      <w:szCs w:val="21"/>
                      <w14:textFill>
                        <w14:solidFill>
                          <w14:schemeClr w14:val="tx1"/>
                        </w14:solidFill>
                      </w14:textFill>
                    </w:rPr>
                    <w:t>mg/L</w:t>
                  </w:r>
                </w:p>
              </w:tc>
              <w:tc>
                <w:tcPr>
                  <w:tcW w:w="702" w:type="pct"/>
                  <w:noWrap w:val="0"/>
                  <w:vAlign w:val="center"/>
                </w:tcPr>
                <w:p w14:paraId="72B0DF8E">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t/a</w:t>
                  </w:r>
                </w:p>
              </w:tc>
            </w:tr>
            <w:tr w14:paraId="5D644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683" w:type="pct"/>
                  <w:vMerge w:val="continue"/>
                  <w:noWrap w:val="0"/>
                  <w:vAlign w:val="center"/>
                </w:tcPr>
                <w:p w14:paraId="3FF40617">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617" w:type="pct"/>
                  <w:noWrap w:val="0"/>
                  <w:vAlign w:val="center"/>
                </w:tcPr>
                <w:p w14:paraId="5197D592">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SS</w:t>
                  </w:r>
                </w:p>
              </w:tc>
              <w:tc>
                <w:tcPr>
                  <w:tcW w:w="705" w:type="pct"/>
                  <w:noWrap w:val="0"/>
                  <w:vAlign w:val="center"/>
                </w:tcPr>
                <w:p w14:paraId="03F43676">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200mg/L</w:t>
                  </w:r>
                </w:p>
              </w:tc>
              <w:tc>
                <w:tcPr>
                  <w:tcW w:w="794" w:type="pct"/>
                  <w:noWrap w:val="0"/>
                  <w:vAlign w:val="center"/>
                </w:tcPr>
                <w:p w14:paraId="11C06DB2">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013</w:t>
                  </w:r>
                  <w:r>
                    <w:rPr>
                      <w:rFonts w:hint="default"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t/a</w:t>
                  </w:r>
                </w:p>
              </w:tc>
              <w:tc>
                <w:tcPr>
                  <w:tcW w:w="794" w:type="pct"/>
                  <w:vMerge w:val="continue"/>
                  <w:noWrap w:val="0"/>
                  <w:vAlign w:val="center"/>
                </w:tcPr>
                <w:p w14:paraId="6B839454">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705" w:type="pct"/>
                  <w:noWrap w:val="0"/>
                  <w:vAlign w:val="center"/>
                </w:tcPr>
                <w:p w14:paraId="5832F698">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140mg/L</w:t>
                  </w:r>
                </w:p>
              </w:tc>
              <w:tc>
                <w:tcPr>
                  <w:tcW w:w="702" w:type="pct"/>
                  <w:noWrap w:val="0"/>
                  <w:vAlign w:val="center"/>
                </w:tcPr>
                <w:p w14:paraId="21BDE32E">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9</w:t>
                  </w:r>
                  <w:r>
                    <w:rPr>
                      <w:rFonts w:hint="default" w:ascii="Times New Roman" w:hAnsi="Times New Roman" w:eastAsia="宋体" w:cs="Times New Roman"/>
                      <w:color w:val="000000" w:themeColor="text1"/>
                      <w:szCs w:val="21"/>
                      <w14:textFill>
                        <w14:solidFill>
                          <w14:schemeClr w14:val="tx1"/>
                        </w14:solidFill>
                      </w14:textFill>
                    </w:rPr>
                    <w:t>t/a</w:t>
                  </w:r>
                </w:p>
              </w:tc>
            </w:tr>
            <w:tr w14:paraId="26CD6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83" w:type="pct"/>
                  <w:vMerge w:val="continue"/>
                  <w:noWrap w:val="0"/>
                  <w:vAlign w:val="center"/>
                </w:tcPr>
                <w:p w14:paraId="7115204B">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617" w:type="pct"/>
                  <w:noWrap w:val="0"/>
                  <w:vAlign w:val="center"/>
                </w:tcPr>
                <w:p w14:paraId="30912716">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氨氮</w:t>
                  </w:r>
                </w:p>
              </w:tc>
              <w:tc>
                <w:tcPr>
                  <w:tcW w:w="705" w:type="pct"/>
                  <w:noWrap w:val="0"/>
                  <w:vAlign w:val="center"/>
                </w:tcPr>
                <w:p w14:paraId="4C2B4445">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35mg/L</w:t>
                  </w:r>
                </w:p>
              </w:tc>
              <w:tc>
                <w:tcPr>
                  <w:tcW w:w="794" w:type="pct"/>
                  <w:noWrap w:val="0"/>
                  <w:vAlign w:val="center"/>
                </w:tcPr>
                <w:p w14:paraId="7BA10550">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02</w:t>
                  </w:r>
                  <w:r>
                    <w:rPr>
                      <w:rFonts w:hint="default" w:ascii="Times New Roman" w:hAnsi="Times New Roman" w:eastAsia="宋体" w:cs="Times New Roman"/>
                      <w:color w:val="000000" w:themeColor="text1"/>
                      <w:szCs w:val="21"/>
                      <w14:textFill>
                        <w14:solidFill>
                          <w14:schemeClr w14:val="tx1"/>
                        </w14:solidFill>
                      </w14:textFill>
                    </w:rPr>
                    <w:t>t/a</w:t>
                  </w:r>
                </w:p>
              </w:tc>
              <w:tc>
                <w:tcPr>
                  <w:tcW w:w="794" w:type="pct"/>
                  <w:vMerge w:val="continue"/>
                  <w:noWrap w:val="0"/>
                  <w:vAlign w:val="center"/>
                </w:tcPr>
                <w:p w14:paraId="1D580D86">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705" w:type="pct"/>
                  <w:noWrap w:val="0"/>
                  <w:vAlign w:val="center"/>
                </w:tcPr>
                <w:p w14:paraId="22AF13D6">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35mg/L</w:t>
                  </w:r>
                </w:p>
              </w:tc>
              <w:tc>
                <w:tcPr>
                  <w:tcW w:w="702" w:type="pct"/>
                  <w:noWrap w:val="0"/>
                  <w:vAlign w:val="center"/>
                </w:tcPr>
                <w:p w14:paraId="77474555">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t/a</w:t>
                  </w:r>
                </w:p>
              </w:tc>
            </w:tr>
            <w:tr w14:paraId="4E882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683" w:type="pct"/>
                  <w:vMerge w:val="continue"/>
                  <w:noWrap w:val="0"/>
                  <w:vAlign w:val="center"/>
                </w:tcPr>
                <w:p w14:paraId="41F301A6">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617" w:type="pct"/>
                  <w:noWrap w:val="0"/>
                  <w:vAlign w:val="center"/>
                </w:tcPr>
                <w:p w14:paraId="0789EE07">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总磷</w:t>
                  </w:r>
                </w:p>
              </w:tc>
              <w:tc>
                <w:tcPr>
                  <w:tcW w:w="705" w:type="pct"/>
                  <w:noWrap w:val="0"/>
                  <w:vAlign w:val="center"/>
                </w:tcPr>
                <w:p w14:paraId="19662755">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8mg/L</w:t>
                  </w:r>
                </w:p>
              </w:tc>
              <w:tc>
                <w:tcPr>
                  <w:tcW w:w="794" w:type="pct"/>
                  <w:noWrap w:val="0"/>
                  <w:vAlign w:val="center"/>
                </w:tcPr>
                <w:p w14:paraId="5F2023CF">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w:t>
                  </w:r>
                  <w:r>
                    <w:rPr>
                      <w:rFonts w:hint="eastAsia" w:ascii="Times New Roman" w:hAnsi="Times New Roman" w:cs="Times New Roman"/>
                      <w:color w:val="000000" w:themeColor="text1"/>
                      <w:szCs w:val="21"/>
                      <w:lang w:val="en-US" w:eastAsia="zh-CN"/>
                      <w14:textFill>
                        <w14:solidFill>
                          <w14:schemeClr w14:val="tx1"/>
                        </w14:solidFill>
                      </w14:textFill>
                    </w:rPr>
                    <w:t>05</w:t>
                  </w:r>
                  <w:r>
                    <w:rPr>
                      <w:rFonts w:hint="default" w:ascii="Times New Roman" w:hAnsi="Times New Roman" w:eastAsia="宋体" w:cs="Times New Roman"/>
                      <w:color w:val="000000" w:themeColor="text1"/>
                      <w:szCs w:val="21"/>
                      <w14:textFill>
                        <w14:solidFill>
                          <w14:schemeClr w14:val="tx1"/>
                        </w14:solidFill>
                      </w14:textFill>
                    </w:rPr>
                    <w:t>t/a</w:t>
                  </w:r>
                </w:p>
              </w:tc>
              <w:tc>
                <w:tcPr>
                  <w:tcW w:w="794" w:type="pct"/>
                  <w:vMerge w:val="continue"/>
                  <w:noWrap w:val="0"/>
                  <w:vAlign w:val="center"/>
                </w:tcPr>
                <w:p w14:paraId="0D6D20BE">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705" w:type="pct"/>
                  <w:noWrap w:val="0"/>
                  <w:vAlign w:val="center"/>
                </w:tcPr>
                <w:p w14:paraId="7BE771CA">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8mg/L</w:t>
                  </w:r>
                </w:p>
              </w:tc>
              <w:tc>
                <w:tcPr>
                  <w:tcW w:w="702" w:type="pct"/>
                  <w:noWrap w:val="0"/>
                  <w:vAlign w:val="center"/>
                </w:tcPr>
                <w:p w14:paraId="044D1D49">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t/a</w:t>
                  </w:r>
                </w:p>
              </w:tc>
            </w:tr>
            <w:tr w14:paraId="41F6D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683" w:type="pct"/>
                  <w:vMerge w:val="continue"/>
                  <w:noWrap w:val="0"/>
                  <w:vAlign w:val="center"/>
                </w:tcPr>
                <w:p w14:paraId="5457A914">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617" w:type="pct"/>
                  <w:noWrap w:val="0"/>
                  <w:vAlign w:val="center"/>
                </w:tcPr>
                <w:p w14:paraId="496C1EBC">
                  <w:pPr>
                    <w:widowControl/>
                    <w:spacing w:line="32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总氮</w:t>
                  </w:r>
                </w:p>
              </w:tc>
              <w:tc>
                <w:tcPr>
                  <w:tcW w:w="705" w:type="pct"/>
                  <w:noWrap w:val="0"/>
                  <w:vAlign w:val="center"/>
                </w:tcPr>
                <w:p w14:paraId="520BE1D4">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70mg/L</w:t>
                  </w:r>
                </w:p>
              </w:tc>
              <w:tc>
                <w:tcPr>
                  <w:tcW w:w="794" w:type="pct"/>
                  <w:noWrap w:val="0"/>
                  <w:vAlign w:val="center"/>
                </w:tcPr>
                <w:p w14:paraId="076DC0CA">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t/a</w:t>
                  </w:r>
                </w:p>
              </w:tc>
              <w:tc>
                <w:tcPr>
                  <w:tcW w:w="794" w:type="pct"/>
                  <w:vMerge w:val="continue"/>
                  <w:noWrap w:val="0"/>
                  <w:vAlign w:val="center"/>
                </w:tcPr>
                <w:p w14:paraId="3C125FC8">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705" w:type="pct"/>
                  <w:noWrap w:val="0"/>
                  <w:vAlign w:val="center"/>
                </w:tcPr>
                <w:p w14:paraId="4D3C61A3">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70mg/L</w:t>
                  </w:r>
                </w:p>
              </w:tc>
              <w:tc>
                <w:tcPr>
                  <w:tcW w:w="702" w:type="pct"/>
                  <w:noWrap w:val="0"/>
                  <w:vAlign w:val="center"/>
                </w:tcPr>
                <w:p w14:paraId="6D26A718">
                  <w:pPr>
                    <w:widowControl/>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4t/a</w:t>
                  </w:r>
                </w:p>
              </w:tc>
            </w:tr>
          </w:tbl>
          <w:p w14:paraId="767475E3">
            <w:pPr>
              <w:pStyle w:val="21"/>
              <w:keepNext w:val="0"/>
              <w:keepLines w:val="0"/>
              <w:pageBreakBefore w:val="0"/>
              <w:widowControl/>
              <w:numPr>
                <w:ilvl w:val="0"/>
                <w:numId w:val="0"/>
              </w:numPr>
              <w:kinsoku/>
              <w:wordWrap/>
              <w:overflowPunct/>
              <w:topLinePunct w:val="0"/>
              <w:autoSpaceDE/>
              <w:autoSpaceDN/>
              <w:bidi w:val="0"/>
              <w:adjustRightInd/>
              <w:snapToGrid w:val="0"/>
              <w:spacing w:before="0" w:after="0" w:afterLines="0" w:line="360" w:lineRule="auto"/>
              <w:ind w:right="0" w:rightChars="0" w:firstLine="480" w:firstLineChars="200"/>
              <w:textAlignment w:val="auto"/>
              <w:rPr>
                <w:rFonts w:hint="eastAsia" w:cs="Times New Roman"/>
                <w:color w:val="000000" w:themeColor="text1"/>
                <w:sz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vertAlign w:val="baseline"/>
                <w:lang w:val="en-US" w:eastAsia="zh-CN"/>
                <w14:textFill>
                  <w14:solidFill>
                    <w14:schemeClr w14:val="tx1"/>
                  </w14:solidFill>
                </w14:textFill>
              </w:rPr>
              <w:t>②</w:t>
            </w:r>
            <w:r>
              <w:rPr>
                <w:rFonts w:hint="eastAsia" w:cs="Times New Roman"/>
                <w:color w:val="000000" w:themeColor="text1"/>
                <w:sz w:val="24"/>
                <w:vertAlign w:val="baseline"/>
                <w:lang w:val="en-US" w:eastAsia="zh-CN"/>
                <w14:textFill>
                  <w14:solidFill>
                    <w14:schemeClr w14:val="tx1"/>
                  </w14:solidFill>
                </w14:textFill>
              </w:rPr>
              <w:t>罐体清洗废水</w:t>
            </w:r>
          </w:p>
          <w:p w14:paraId="55E3BB58">
            <w:pPr>
              <w:pStyle w:val="21"/>
              <w:keepNext w:val="0"/>
              <w:keepLines w:val="0"/>
              <w:pageBreakBefore w:val="0"/>
              <w:widowControl/>
              <w:numPr>
                <w:ilvl w:val="0"/>
                <w:numId w:val="0"/>
              </w:numPr>
              <w:kinsoku/>
              <w:wordWrap/>
              <w:overflowPunct/>
              <w:topLinePunct w:val="0"/>
              <w:autoSpaceDE/>
              <w:autoSpaceDN/>
              <w:bidi w:val="0"/>
              <w:adjustRightInd/>
              <w:snapToGrid w:val="0"/>
              <w:spacing w:before="0" w:after="0" w:afterLines="0" w:line="360" w:lineRule="auto"/>
              <w:ind w:right="0" w:rightChars="0" w:firstLine="480" w:firstLineChars="200"/>
              <w:textAlignment w:val="auto"/>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一体化生物滤池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洗涤池洗涤水需定期更换，更换频率约1次/月，更换一次产生废水约1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，因此预洗废水产生量约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16.8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/a，更换的废水采用塑料桶收集后</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用于农田堆肥</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p>
          <w:p w14:paraId="725CF6A7">
            <w:pPr>
              <w:pStyle w:val="21"/>
              <w:keepNext w:val="0"/>
              <w:keepLines w:val="0"/>
              <w:pageBreakBefore w:val="0"/>
              <w:widowControl/>
              <w:numPr>
                <w:ilvl w:val="0"/>
                <w:numId w:val="0"/>
              </w:numPr>
              <w:kinsoku/>
              <w:wordWrap/>
              <w:overflowPunct/>
              <w:topLinePunct w:val="0"/>
              <w:autoSpaceDE/>
              <w:autoSpaceDN/>
              <w:bidi w:val="0"/>
              <w:adjustRightInd/>
              <w:snapToGrid w:val="0"/>
              <w:spacing w:before="0" w:after="0" w:afterLines="0" w:line="360" w:lineRule="auto"/>
              <w:ind w:right="0" w:rightChars="0" w:firstLine="480" w:firstLineChars="200"/>
              <w:textAlignment w:val="auto"/>
              <w:rPr>
                <w:rFonts w:hint="default" w:ascii="Times New Roman" w:hAnsi="Times New Roman" w:cs="Times New Roman"/>
                <w:color w:val="000000" w:themeColor="text1"/>
                <w:sz w:val="24"/>
                <w:vertAlign w:val="baseline"/>
                <w:lang w:val="en-US" w:eastAsia="zh-CN"/>
                <w14:textFill>
                  <w14:solidFill>
                    <w14:schemeClr w14:val="tx1"/>
                  </w14:solidFill>
                </w14:textFill>
              </w:rPr>
            </w:pPr>
            <w:r>
              <w:rPr>
                <w:rFonts w:hint="eastAsia" w:cs="Times New Roman"/>
                <w:color w:val="000000" w:themeColor="text1"/>
                <w:sz w:val="24"/>
                <w:vertAlign w:val="baseline"/>
                <w:lang w:val="en-US" w:eastAsia="zh-CN"/>
                <w14:textFill>
                  <w14:solidFill>
                    <w14:schemeClr w14:val="tx1"/>
                  </w14:solidFill>
                </w14:textFill>
              </w:rPr>
              <w:t>③</w:t>
            </w:r>
            <w:r>
              <w:rPr>
                <w:rFonts w:hint="default" w:ascii="Times New Roman" w:hAnsi="Times New Roman" w:cs="Times New Roman"/>
                <w:color w:val="000000" w:themeColor="text1"/>
                <w:sz w:val="24"/>
                <w:vertAlign w:val="baseline"/>
                <w:lang w:val="en-US" w:eastAsia="zh-CN"/>
                <w14:textFill>
                  <w14:solidFill>
                    <w14:schemeClr w14:val="tx1"/>
                  </w14:solidFill>
                </w14:textFill>
              </w:rPr>
              <w:t>堆肥渗滤液</w:t>
            </w:r>
          </w:p>
          <w:p w14:paraId="0ED0D2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在原料发酵初期由于含水率相对较高会有少量渗滤液产生，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原料</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含水率约为</w:t>
            </w:r>
            <w:r>
              <w:rPr>
                <w:rFonts w:hint="eastAsia" w:cs="Times New Roman"/>
                <w:color w:val="000000" w:themeColor="text1"/>
                <w:kern w:val="0"/>
                <w:sz w:val="24"/>
                <w:szCs w:val="20"/>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w:t>
            </w:r>
            <w:r>
              <w:rPr>
                <w:rFonts w:hint="eastAsia" w:cs="Times New Roman"/>
                <w:color w:val="000000" w:themeColor="text1"/>
                <w:kern w:val="0"/>
                <w:sz w:val="24"/>
                <w:szCs w:val="20"/>
                <w:lang w:val="en-US" w:eastAsia="zh-CN" w:bidi="ar-SA"/>
                <w14:textFill>
                  <w14:solidFill>
                    <w14:schemeClr w14:val="tx1"/>
                  </w14:solidFill>
                </w14:textFill>
              </w:rPr>
              <w:t>—60%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，渗滤液产生量约为</w:t>
            </w:r>
            <w:r>
              <w:rPr>
                <w:rFonts w:hint="eastAsia" w:cs="Times New Roman"/>
                <w:color w:val="000000" w:themeColor="text1"/>
                <w:kern w:val="0"/>
                <w:sz w:val="24"/>
                <w:szCs w:val="20"/>
                <w:lang w:val="en-US" w:eastAsia="zh-CN" w:bidi="ar-SA"/>
                <w14:textFill>
                  <w14:solidFill>
                    <w14:schemeClr w14:val="tx1"/>
                  </w14:solidFill>
                </w14:textFill>
              </w:rPr>
              <w:t>4.3</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t/a，本项目通过在</w:t>
            </w:r>
            <w:r>
              <w:rPr>
                <w:rFonts w:hint="eastAsia" w:cs="Times New Roman"/>
                <w:color w:val="000000" w:themeColor="text1"/>
                <w:kern w:val="0"/>
                <w:sz w:val="24"/>
                <w:szCs w:val="20"/>
                <w:lang w:val="en-US" w:eastAsia="zh-CN" w:bidi="ar-SA"/>
                <w14:textFill>
                  <w14:solidFill>
                    <w14:schemeClr w14:val="tx1"/>
                  </w14:solidFill>
                </w14:textFill>
              </w:rPr>
              <w:t>车间进出口设置收集槽，收集槽末端连接渗滤液收集池（容积为1.5m</w:t>
            </w:r>
            <w:r>
              <w:rPr>
                <w:rFonts w:hint="eastAsia" w:cs="Times New Roman"/>
                <w:color w:val="000000" w:themeColor="text1"/>
                <w:kern w:val="0"/>
                <w:sz w:val="24"/>
                <w:szCs w:val="20"/>
                <w:vertAlign w:val="superscript"/>
                <w:lang w:val="en-US" w:eastAsia="zh-CN" w:bidi="ar-SA"/>
                <w14:textFill>
                  <w14:solidFill>
                    <w14:schemeClr w14:val="tx1"/>
                  </w14:solidFill>
                </w14:textFill>
              </w:rPr>
              <w:t>3</w:t>
            </w:r>
            <w:r>
              <w:rPr>
                <w:rFonts w:hint="eastAsia" w:cs="Times New Roman"/>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，收集后的渗滤液</w:t>
            </w:r>
            <w:r>
              <w:rPr>
                <w:rFonts w:hint="eastAsia" w:cs="Times New Roman"/>
                <w:color w:val="000000" w:themeColor="text1"/>
                <w:kern w:val="0"/>
                <w:sz w:val="24"/>
                <w:szCs w:val="20"/>
                <w:lang w:val="en-US" w:eastAsia="zh-CN" w:bidi="ar-SA"/>
                <w14:textFill>
                  <w14:solidFill>
                    <w14:schemeClr w14:val="tx1"/>
                  </w14:solidFill>
                </w14:textFill>
              </w:rPr>
              <w:t>收集后拉运堆肥</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w:t>
            </w:r>
          </w:p>
          <w:p w14:paraId="5E28EC19">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4"/>
                <w:highlight w:val="yellow"/>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废水排放达标情况</w:t>
            </w:r>
          </w:p>
          <w:p w14:paraId="4E83A9F9">
            <w:pPr>
              <w:widowControl/>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根据分析，</w:t>
            </w:r>
            <w:r>
              <w:rPr>
                <w:rFonts w:hint="eastAsia" w:cs="Times New Roman"/>
                <w:color w:val="000000" w:themeColor="text1"/>
                <w:sz w:val="24"/>
                <w:szCs w:val="24"/>
                <w:lang w:val="en-US" w:eastAsia="zh-CN"/>
                <w14:textFill>
                  <w14:solidFill>
                    <w14:schemeClr w14:val="tx1"/>
                  </w14:solidFill>
                </w14:textFill>
              </w:rPr>
              <w:t>本项目无外排废水，罐体清洗废水经塑料桶收集后拉运堆肥，堆肥渗滤液收集后拉运堆肥，</w:t>
            </w:r>
            <w:r>
              <w:rPr>
                <w:rFonts w:hint="default" w:ascii="Times New Roman" w:hAnsi="Times New Roman"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进入</w:t>
            </w:r>
            <w:r>
              <w:rPr>
                <w:rFonts w:hint="eastAsia" w:cs="Times New Roman"/>
                <w:color w:val="000000" w:themeColor="text1"/>
                <w:sz w:val="24"/>
                <w:szCs w:val="24"/>
                <w:highlight w:val="none"/>
                <w:lang w:val="en-US" w:eastAsia="zh-CN"/>
                <w14:textFill>
                  <w14:solidFill>
                    <w14:schemeClr w14:val="tx1"/>
                  </w14:solidFill>
                </w14:textFill>
              </w:rPr>
              <w:t>化粪池处理后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拉运</w:t>
            </w:r>
            <w:r>
              <w:rPr>
                <w:rFonts w:hint="eastAsia" w:cs="Times New Roman"/>
                <w:color w:val="000000" w:themeColor="text1"/>
                <w:sz w:val="24"/>
                <w:szCs w:val="24"/>
                <w:highlight w:val="none"/>
                <w:lang w:val="en-US" w:eastAsia="zh-CN"/>
                <w14:textFill>
                  <w14:solidFill>
                    <w14:schemeClr w14:val="tx1"/>
                  </w14:solidFill>
                </w14:textFill>
              </w:rPr>
              <w:t>堆肥。</w:t>
            </w:r>
          </w:p>
          <w:p w14:paraId="349AFFA2">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val="0"/>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3</w:t>
            </w:r>
            <w:r>
              <w:rPr>
                <w:rFonts w:hint="default" w:ascii="Times New Roman" w:hAnsi="Times New Roman" w:eastAsia="宋体" w:cs="Times New Roman"/>
                <w:b/>
                <w:bCs w:val="0"/>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废水排放可行性分析</w:t>
            </w:r>
          </w:p>
          <w:p w14:paraId="41B86805">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360" w:lineRule="auto"/>
              <w:ind w:leftChars="0" w:firstLine="480" w:firstLineChars="200"/>
              <w:jc w:val="left"/>
              <w:textAlignment w:val="auto"/>
              <w:outlineLvl w:val="9"/>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本项目厂区为西北侧、北侧、东侧均为东风村自留土地，该地块为村农作物种植，且与本项目紧邻，面积约11亩，项目产生的废水可就近用于该地块的农田施肥，且本项目产生的废水能被该地块消纳。</w:t>
            </w:r>
          </w:p>
          <w:p w14:paraId="7C9AB336">
            <w:pPr>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三、运营期噪声环境影响和保护措施</w:t>
            </w:r>
          </w:p>
          <w:p w14:paraId="67DA5315">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1、噪声源强分析</w:t>
            </w:r>
          </w:p>
          <w:p w14:paraId="7E53EBE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噪声主要为生产过程中各设施运行产生的机械噪声，均位于生产车间内，其声压级范围为75dB（A）-90dB（A）。本项目以厂界西南角为原点（0，0，0），向东为X轴正方向，向北为Y轴正方向，向上为Z轴正方向。本项目噪声设备主要均布设在车间内部，生产车间</w:t>
            </w:r>
            <w:r>
              <w:rPr>
                <w:rFonts w:hint="default" w:ascii="Times New Roman" w:hAnsi="Times New Roman" w:eastAsia="宋体" w:cs="Times New Roman"/>
                <w:color w:val="000000" w:themeColor="text1"/>
                <w:sz w:val="24"/>
                <w:szCs w:val="24"/>
                <w14:textFill>
                  <w14:solidFill>
                    <w14:schemeClr w14:val="tx1"/>
                  </w14:solidFill>
                </w14:textFill>
              </w:rPr>
              <w:t>工作时间为昼间6点～</w:t>
            </w:r>
            <w:r>
              <w:rPr>
                <w:rFonts w:hint="default" w:ascii="Times New Roman" w:hAnsi="Times New Roman"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14:textFill>
                  <w14:solidFill>
                    <w14:schemeClr w14:val="tx1"/>
                  </w14:solidFill>
                </w14:textFill>
              </w:rPr>
              <w:t xml:space="preserve"> 点</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夜间不工作，发酵车间发酵工作时间为24h</w:t>
            </w:r>
            <w:r>
              <w:rPr>
                <w:rFonts w:hint="eastAsia" w:cs="Times New Roman"/>
                <w:color w:val="000000" w:themeColor="text1"/>
                <w:sz w:val="24"/>
                <w:szCs w:val="24"/>
                <w:lang w:val="en-US" w:eastAsia="zh-CN"/>
                <w14:textFill>
                  <w14:solidFill>
                    <w14:schemeClr w14:val="tx1"/>
                  </w14:solidFill>
                </w14:textFill>
              </w:rPr>
              <w:t>，根</w:t>
            </w:r>
            <w:r>
              <w:rPr>
                <w:rFonts w:hint="default" w:ascii="Times New Roman" w:hAnsi="Times New Roman" w:cs="Times New Roman"/>
                <w:color w:val="000000" w:themeColor="text1"/>
                <w:sz w:val="24"/>
                <w:szCs w:val="24"/>
                <w:lang w:val="en-US" w:eastAsia="zh-CN"/>
                <w14:textFill>
                  <w14:solidFill>
                    <w14:schemeClr w14:val="tx1"/>
                  </w14:solidFill>
                </w14:textFill>
              </w:rPr>
              <w:t>据环境噪声与振动控制工程技术导则（HJ2034-2013）及类比同类型项目，</w:t>
            </w:r>
            <w:r>
              <w:rPr>
                <w:rFonts w:hint="default" w:ascii="Times New Roman" w:hAnsi="Times New Roman" w:eastAsia="宋体" w:cs="Times New Roman"/>
                <w:bCs/>
                <w:color w:val="auto"/>
                <w:sz w:val="24"/>
                <w:szCs w:val="24"/>
              </w:rPr>
              <w:t>本项目噪声源基本信息</w:t>
            </w:r>
            <w:r>
              <w:rPr>
                <w:rFonts w:hint="default" w:ascii="Times New Roman" w:hAnsi="Times New Roman" w:eastAsia="宋体" w:cs="Times New Roman"/>
                <w:color w:val="000000" w:themeColor="text1"/>
                <w:sz w:val="24"/>
                <w:szCs w:val="24"/>
                <w14:textFill>
                  <w14:solidFill>
                    <w14:schemeClr w14:val="tx1"/>
                  </w14:solidFill>
                </w14:textFill>
              </w:rPr>
              <w:t>见下表。</w:t>
            </w:r>
          </w:p>
          <w:p w14:paraId="071D8141">
            <w:pPr>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 xml:space="preserve">  工业企业噪声源强调查清单</w:t>
            </w:r>
          </w:p>
          <w:tbl>
            <w:tblPr>
              <w:tblStyle w:val="22"/>
              <w:tblW w:w="82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9"/>
              <w:gridCol w:w="614"/>
              <w:gridCol w:w="576"/>
              <w:gridCol w:w="1084"/>
              <w:gridCol w:w="522"/>
              <w:gridCol w:w="523"/>
              <w:gridCol w:w="468"/>
              <w:gridCol w:w="509"/>
              <w:gridCol w:w="746"/>
              <w:gridCol w:w="674"/>
              <w:gridCol w:w="746"/>
              <w:gridCol w:w="784"/>
            </w:tblGrid>
            <w:tr w14:paraId="5B91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jc w:val="center"/>
              </w:trPr>
              <w:tc>
                <w:tcPr>
                  <w:tcW w:w="1009" w:type="dxa"/>
                  <w:vMerge w:val="restart"/>
                  <w:tcBorders>
                    <w:tl2br w:val="nil"/>
                    <w:tr2bl w:val="nil"/>
                  </w:tcBorders>
                  <w:shd w:val="clear" w:color="auto" w:fill="auto"/>
                  <w:vAlign w:val="center"/>
                </w:tcPr>
                <w:p w14:paraId="25ED4DF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声源名称</w:t>
                  </w:r>
                </w:p>
              </w:tc>
              <w:tc>
                <w:tcPr>
                  <w:tcW w:w="614" w:type="dxa"/>
                  <w:vMerge w:val="restart"/>
                  <w:tcBorders>
                    <w:tl2br w:val="nil"/>
                    <w:tr2bl w:val="nil"/>
                  </w:tcBorders>
                  <w:shd w:val="clear" w:color="auto" w:fill="auto"/>
                  <w:vAlign w:val="center"/>
                </w:tcPr>
                <w:p w14:paraId="66FECEB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声压级dB(A)</w:t>
                  </w:r>
                </w:p>
              </w:tc>
              <w:tc>
                <w:tcPr>
                  <w:tcW w:w="576" w:type="dxa"/>
                  <w:vMerge w:val="restart"/>
                  <w:tcBorders>
                    <w:tl2br w:val="nil"/>
                    <w:tr2bl w:val="nil"/>
                  </w:tcBorders>
                  <w:shd w:val="clear" w:color="auto" w:fill="auto"/>
                  <w:vAlign w:val="center"/>
                </w:tcPr>
                <w:p w14:paraId="15414CA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数量（台）</w:t>
                  </w:r>
                </w:p>
              </w:tc>
              <w:tc>
                <w:tcPr>
                  <w:tcW w:w="1084" w:type="dxa"/>
                  <w:vMerge w:val="restart"/>
                  <w:tcBorders>
                    <w:tl2br w:val="nil"/>
                    <w:tr2bl w:val="nil"/>
                  </w:tcBorders>
                  <w:shd w:val="clear" w:color="auto" w:fill="auto"/>
                  <w:vAlign w:val="center"/>
                </w:tcPr>
                <w:p w14:paraId="0B94C59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声源控制措施</w:t>
                  </w:r>
                </w:p>
              </w:tc>
              <w:tc>
                <w:tcPr>
                  <w:tcW w:w="1513" w:type="dxa"/>
                  <w:gridSpan w:val="3"/>
                  <w:tcBorders>
                    <w:tl2br w:val="nil"/>
                    <w:tr2bl w:val="nil"/>
                  </w:tcBorders>
                  <w:shd w:val="clear" w:color="auto" w:fill="auto"/>
                  <w:vAlign w:val="center"/>
                </w:tcPr>
                <w:p w14:paraId="46FF90C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空间相对位置/m</w:t>
                  </w:r>
                </w:p>
              </w:tc>
              <w:tc>
                <w:tcPr>
                  <w:tcW w:w="509" w:type="dxa"/>
                  <w:vMerge w:val="restart"/>
                  <w:tcBorders>
                    <w:tl2br w:val="nil"/>
                    <w:tr2bl w:val="nil"/>
                  </w:tcBorders>
                  <w:shd w:val="clear" w:color="auto" w:fill="auto"/>
                  <w:vAlign w:val="center"/>
                </w:tcPr>
                <w:p w14:paraId="3A72ED1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运行时段/h</w:t>
                  </w:r>
                </w:p>
              </w:tc>
              <w:tc>
                <w:tcPr>
                  <w:tcW w:w="746" w:type="dxa"/>
                  <w:vMerge w:val="restart"/>
                  <w:tcBorders>
                    <w:tl2br w:val="nil"/>
                    <w:tr2bl w:val="nil"/>
                  </w:tcBorders>
                  <w:shd w:val="clear" w:color="auto" w:fill="auto"/>
                  <w:vAlign w:val="center"/>
                </w:tcPr>
                <w:p w14:paraId="66E9D13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建筑物插入损失/dB(A)</w:t>
                  </w:r>
                </w:p>
              </w:tc>
              <w:tc>
                <w:tcPr>
                  <w:tcW w:w="1420" w:type="dxa"/>
                  <w:gridSpan w:val="2"/>
                  <w:tcBorders>
                    <w:tl2br w:val="nil"/>
                    <w:tr2bl w:val="nil"/>
                  </w:tcBorders>
                  <w:shd w:val="clear" w:color="auto" w:fill="auto"/>
                  <w:vAlign w:val="center"/>
                </w:tcPr>
                <w:p w14:paraId="1CA7DDE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建筑物外噪声</w:t>
                  </w:r>
                </w:p>
              </w:tc>
              <w:tc>
                <w:tcPr>
                  <w:tcW w:w="784" w:type="dxa"/>
                  <w:vMerge w:val="restart"/>
                  <w:tcBorders>
                    <w:tl2br w:val="nil"/>
                    <w:tr2bl w:val="nil"/>
                  </w:tcBorders>
                  <w:shd w:val="clear" w:color="auto" w:fill="auto"/>
                  <w:vAlign w:val="center"/>
                </w:tcPr>
                <w:p w14:paraId="3351818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持续时间</w:t>
                  </w:r>
                </w:p>
              </w:tc>
            </w:tr>
            <w:tr w14:paraId="5BD30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009" w:type="dxa"/>
                  <w:vMerge w:val="continue"/>
                  <w:tcBorders>
                    <w:tl2br w:val="nil"/>
                    <w:tr2bl w:val="nil"/>
                  </w:tcBorders>
                  <w:shd w:val="clear" w:color="auto" w:fill="auto"/>
                  <w:vAlign w:val="center"/>
                </w:tcPr>
                <w:p w14:paraId="441F8D9F">
                  <w:pPr>
                    <w:adjustRightInd w:val="0"/>
                    <w:snapToGrid w:val="0"/>
                    <w:jc w:val="center"/>
                    <w:rPr>
                      <w:rFonts w:hint="default" w:ascii="Times New Roman" w:hAnsi="Times New Roman" w:eastAsia="宋体" w:cs="Times New Roman"/>
                      <w:color w:val="auto"/>
                      <w:szCs w:val="21"/>
                    </w:rPr>
                  </w:pPr>
                </w:p>
              </w:tc>
              <w:tc>
                <w:tcPr>
                  <w:tcW w:w="614" w:type="dxa"/>
                  <w:vMerge w:val="continue"/>
                  <w:tcBorders>
                    <w:tl2br w:val="nil"/>
                    <w:tr2bl w:val="nil"/>
                  </w:tcBorders>
                  <w:shd w:val="clear" w:color="auto" w:fill="auto"/>
                  <w:vAlign w:val="center"/>
                </w:tcPr>
                <w:p w14:paraId="49F67604">
                  <w:pPr>
                    <w:adjustRightInd w:val="0"/>
                    <w:snapToGrid w:val="0"/>
                    <w:jc w:val="center"/>
                    <w:rPr>
                      <w:rFonts w:hint="default" w:ascii="Times New Roman" w:hAnsi="Times New Roman" w:eastAsia="宋体" w:cs="Times New Roman"/>
                      <w:color w:val="auto"/>
                      <w:szCs w:val="21"/>
                    </w:rPr>
                  </w:pPr>
                </w:p>
              </w:tc>
              <w:tc>
                <w:tcPr>
                  <w:tcW w:w="576" w:type="dxa"/>
                  <w:vMerge w:val="continue"/>
                  <w:tcBorders>
                    <w:tl2br w:val="nil"/>
                    <w:tr2bl w:val="nil"/>
                  </w:tcBorders>
                  <w:shd w:val="clear" w:color="auto" w:fill="auto"/>
                  <w:vAlign w:val="center"/>
                </w:tcPr>
                <w:p w14:paraId="2183AC43">
                  <w:pPr>
                    <w:adjustRightInd w:val="0"/>
                    <w:snapToGrid w:val="0"/>
                    <w:jc w:val="center"/>
                    <w:rPr>
                      <w:rFonts w:hint="default" w:ascii="Times New Roman" w:hAnsi="Times New Roman" w:eastAsia="宋体" w:cs="Times New Roman"/>
                      <w:color w:val="auto"/>
                      <w:szCs w:val="21"/>
                    </w:rPr>
                  </w:pPr>
                </w:p>
              </w:tc>
              <w:tc>
                <w:tcPr>
                  <w:tcW w:w="1084" w:type="dxa"/>
                  <w:vMerge w:val="continue"/>
                  <w:tcBorders>
                    <w:tl2br w:val="nil"/>
                    <w:tr2bl w:val="nil"/>
                  </w:tcBorders>
                  <w:shd w:val="clear" w:color="auto" w:fill="auto"/>
                  <w:vAlign w:val="center"/>
                </w:tcPr>
                <w:p w14:paraId="33BD8B15">
                  <w:pPr>
                    <w:adjustRightInd w:val="0"/>
                    <w:snapToGrid w:val="0"/>
                    <w:jc w:val="center"/>
                    <w:rPr>
                      <w:rFonts w:hint="default" w:ascii="Times New Roman" w:hAnsi="Times New Roman" w:eastAsia="宋体" w:cs="Times New Roman"/>
                      <w:color w:val="auto"/>
                      <w:szCs w:val="21"/>
                    </w:rPr>
                  </w:pPr>
                </w:p>
              </w:tc>
              <w:tc>
                <w:tcPr>
                  <w:tcW w:w="522" w:type="dxa"/>
                  <w:tcBorders>
                    <w:tl2br w:val="nil"/>
                    <w:tr2bl w:val="nil"/>
                  </w:tcBorders>
                  <w:shd w:val="clear" w:color="auto" w:fill="auto"/>
                  <w:vAlign w:val="center"/>
                </w:tcPr>
                <w:p w14:paraId="0B24673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X</w:t>
                  </w:r>
                </w:p>
              </w:tc>
              <w:tc>
                <w:tcPr>
                  <w:tcW w:w="523" w:type="dxa"/>
                  <w:tcBorders>
                    <w:tl2br w:val="nil"/>
                    <w:tr2bl w:val="nil"/>
                  </w:tcBorders>
                  <w:shd w:val="clear" w:color="auto" w:fill="auto"/>
                  <w:vAlign w:val="center"/>
                </w:tcPr>
                <w:p w14:paraId="47BDD93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Y</w:t>
                  </w:r>
                </w:p>
              </w:tc>
              <w:tc>
                <w:tcPr>
                  <w:tcW w:w="468" w:type="dxa"/>
                  <w:tcBorders>
                    <w:tl2br w:val="nil"/>
                    <w:tr2bl w:val="nil"/>
                  </w:tcBorders>
                  <w:shd w:val="clear" w:color="auto" w:fill="auto"/>
                  <w:vAlign w:val="center"/>
                </w:tcPr>
                <w:p w14:paraId="4326316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Z</w:t>
                  </w:r>
                </w:p>
              </w:tc>
              <w:tc>
                <w:tcPr>
                  <w:tcW w:w="509" w:type="dxa"/>
                  <w:vMerge w:val="continue"/>
                  <w:tcBorders>
                    <w:tl2br w:val="nil"/>
                    <w:tr2bl w:val="nil"/>
                  </w:tcBorders>
                  <w:shd w:val="clear" w:color="auto" w:fill="auto"/>
                  <w:vAlign w:val="center"/>
                </w:tcPr>
                <w:p w14:paraId="043F452C">
                  <w:pPr>
                    <w:adjustRightInd w:val="0"/>
                    <w:snapToGrid w:val="0"/>
                    <w:jc w:val="center"/>
                    <w:rPr>
                      <w:rFonts w:hint="default" w:ascii="Times New Roman" w:hAnsi="Times New Roman" w:eastAsia="宋体" w:cs="Times New Roman"/>
                      <w:color w:val="auto"/>
                      <w:szCs w:val="21"/>
                    </w:rPr>
                  </w:pPr>
                </w:p>
              </w:tc>
              <w:tc>
                <w:tcPr>
                  <w:tcW w:w="746" w:type="dxa"/>
                  <w:vMerge w:val="continue"/>
                  <w:tcBorders>
                    <w:tl2br w:val="nil"/>
                    <w:tr2bl w:val="nil"/>
                  </w:tcBorders>
                  <w:shd w:val="clear" w:color="auto" w:fill="auto"/>
                  <w:vAlign w:val="center"/>
                </w:tcPr>
                <w:p w14:paraId="38AEC5E5">
                  <w:pPr>
                    <w:adjustRightInd w:val="0"/>
                    <w:snapToGrid w:val="0"/>
                    <w:jc w:val="center"/>
                    <w:rPr>
                      <w:rFonts w:hint="default" w:ascii="Times New Roman" w:hAnsi="Times New Roman" w:eastAsia="宋体" w:cs="Times New Roman"/>
                      <w:color w:val="auto"/>
                      <w:szCs w:val="21"/>
                    </w:rPr>
                  </w:pPr>
                </w:p>
              </w:tc>
              <w:tc>
                <w:tcPr>
                  <w:tcW w:w="674" w:type="dxa"/>
                  <w:tcBorders>
                    <w:tl2br w:val="nil"/>
                    <w:tr2bl w:val="nil"/>
                  </w:tcBorders>
                  <w:shd w:val="clear" w:color="auto" w:fill="auto"/>
                  <w:vAlign w:val="center"/>
                </w:tcPr>
                <w:p w14:paraId="2B6DE56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声压级/dB(A)</w:t>
                  </w:r>
                </w:p>
              </w:tc>
              <w:tc>
                <w:tcPr>
                  <w:tcW w:w="746" w:type="dxa"/>
                  <w:tcBorders>
                    <w:tl2br w:val="nil"/>
                    <w:tr2bl w:val="nil"/>
                  </w:tcBorders>
                  <w:shd w:val="clear" w:color="auto" w:fill="auto"/>
                  <w:vAlign w:val="center"/>
                </w:tcPr>
                <w:p w14:paraId="4B9AFEE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建筑物外距离/m</w:t>
                  </w:r>
                </w:p>
              </w:tc>
              <w:tc>
                <w:tcPr>
                  <w:tcW w:w="784" w:type="dxa"/>
                  <w:vMerge w:val="continue"/>
                  <w:tcBorders>
                    <w:tl2br w:val="nil"/>
                    <w:tr2bl w:val="nil"/>
                  </w:tcBorders>
                  <w:shd w:val="clear" w:color="auto" w:fill="auto"/>
                  <w:vAlign w:val="center"/>
                </w:tcPr>
                <w:p w14:paraId="64E299DA">
                  <w:pPr>
                    <w:adjustRightInd w:val="0"/>
                    <w:snapToGrid w:val="0"/>
                    <w:jc w:val="center"/>
                    <w:rPr>
                      <w:rFonts w:hint="default" w:ascii="Times New Roman" w:hAnsi="Times New Roman" w:eastAsia="宋体" w:cs="Times New Roman"/>
                      <w:color w:val="auto"/>
                      <w:szCs w:val="21"/>
                    </w:rPr>
                  </w:pPr>
                </w:p>
              </w:tc>
            </w:tr>
            <w:tr w14:paraId="3DF7F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09" w:type="dxa"/>
                  <w:tcBorders>
                    <w:tl2br w:val="nil"/>
                    <w:tr2bl w:val="nil"/>
                  </w:tcBorders>
                  <w:shd w:val="clear" w:color="auto" w:fill="auto"/>
                  <w:vAlign w:val="center"/>
                </w:tcPr>
                <w:p w14:paraId="7C036979">
                  <w:pPr>
                    <w:widowControl/>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000000" w:themeColor="text1"/>
                      <w:szCs w:val="21"/>
                      <w:lang w:val="en-US" w:eastAsia="zh-CN"/>
                      <w14:textFill>
                        <w14:solidFill>
                          <w14:schemeClr w14:val="tx1"/>
                        </w14:solidFill>
                      </w14:textFill>
                    </w:rPr>
                    <w:t>粉碎机</w:t>
                  </w:r>
                </w:p>
              </w:tc>
              <w:tc>
                <w:tcPr>
                  <w:tcW w:w="614" w:type="dxa"/>
                  <w:tcBorders>
                    <w:tl2br w:val="nil"/>
                    <w:tr2bl w:val="nil"/>
                  </w:tcBorders>
                  <w:shd w:val="clear" w:color="auto" w:fill="auto"/>
                  <w:vAlign w:val="center"/>
                </w:tcPr>
                <w:p w14:paraId="78381270">
                  <w:pPr>
                    <w:adjustRightInd w:val="0"/>
                    <w:snapToGrid w:val="0"/>
                    <w:jc w:val="center"/>
                    <w:rPr>
                      <w:rFonts w:hint="default" w:ascii="Times New Roman" w:hAnsi="Times New Roman" w:eastAsia="宋体" w:cs="Times New Roman"/>
                      <w:color w:val="auto"/>
                      <w:szCs w:val="21"/>
                      <w:lang w:val="en-US"/>
                    </w:rPr>
                  </w:pPr>
                  <w:r>
                    <w:rPr>
                      <w:rFonts w:hint="default" w:ascii="Times New Roman" w:hAnsi="Times New Roman" w:cs="Times New Roman"/>
                      <w:bCs/>
                      <w:color w:val="000000" w:themeColor="text1"/>
                      <w:szCs w:val="21"/>
                      <w:lang w:val="en-US" w:eastAsia="zh-CN"/>
                      <w14:textFill>
                        <w14:solidFill>
                          <w14:schemeClr w14:val="tx1"/>
                        </w14:solidFill>
                      </w14:textFill>
                    </w:rPr>
                    <w:t>80</w:t>
                  </w:r>
                </w:p>
              </w:tc>
              <w:tc>
                <w:tcPr>
                  <w:tcW w:w="576" w:type="dxa"/>
                  <w:tcBorders>
                    <w:tl2br w:val="nil"/>
                    <w:tr2bl w:val="nil"/>
                  </w:tcBorders>
                  <w:shd w:val="clear" w:color="auto" w:fill="auto"/>
                  <w:vAlign w:val="center"/>
                </w:tcPr>
                <w:p w14:paraId="16D34F0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vMerge w:val="restart"/>
                  <w:tcBorders>
                    <w:tl2br w:val="nil"/>
                    <w:tr2bl w:val="nil"/>
                  </w:tcBorders>
                  <w:shd w:val="clear" w:color="auto" w:fill="auto"/>
                  <w:vAlign w:val="center"/>
                </w:tcPr>
                <w:p w14:paraId="7D63E7F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合理布局、厂房隔声、距离衰减等</w:t>
                  </w:r>
                </w:p>
              </w:tc>
              <w:tc>
                <w:tcPr>
                  <w:tcW w:w="522" w:type="dxa"/>
                  <w:tcBorders>
                    <w:tl2br w:val="nil"/>
                    <w:tr2bl w:val="nil"/>
                  </w:tcBorders>
                  <w:shd w:val="clear" w:color="auto" w:fill="auto"/>
                  <w:vAlign w:val="center"/>
                </w:tcPr>
                <w:p w14:paraId="6373E545">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52</w:t>
                  </w:r>
                </w:p>
              </w:tc>
              <w:tc>
                <w:tcPr>
                  <w:tcW w:w="523" w:type="dxa"/>
                  <w:tcBorders>
                    <w:tl2br w:val="nil"/>
                    <w:tr2bl w:val="nil"/>
                  </w:tcBorders>
                  <w:shd w:val="clear" w:color="auto" w:fill="auto"/>
                  <w:vAlign w:val="center"/>
                </w:tcPr>
                <w:p w14:paraId="655ABCF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468" w:type="dxa"/>
                  <w:tcBorders>
                    <w:tl2br w:val="nil"/>
                    <w:tr2bl w:val="nil"/>
                  </w:tcBorders>
                  <w:shd w:val="clear" w:color="auto" w:fill="auto"/>
                  <w:vAlign w:val="center"/>
                </w:tcPr>
                <w:p w14:paraId="7A0747D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p>
              </w:tc>
              <w:tc>
                <w:tcPr>
                  <w:tcW w:w="509" w:type="dxa"/>
                  <w:tcBorders>
                    <w:tl2br w:val="nil"/>
                    <w:tr2bl w:val="nil"/>
                  </w:tcBorders>
                  <w:shd w:val="clear" w:color="auto" w:fill="auto"/>
                  <w:vAlign w:val="center"/>
                </w:tcPr>
                <w:p w14:paraId="4BCACE76">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6</w:t>
                  </w:r>
                </w:p>
              </w:tc>
              <w:tc>
                <w:tcPr>
                  <w:tcW w:w="746" w:type="dxa"/>
                  <w:tcBorders>
                    <w:tl2br w:val="nil"/>
                    <w:tr2bl w:val="nil"/>
                  </w:tcBorders>
                  <w:shd w:val="clear" w:color="auto" w:fill="auto"/>
                  <w:vAlign w:val="center"/>
                </w:tcPr>
                <w:p w14:paraId="28D7E9A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15</w:t>
                  </w:r>
                </w:p>
              </w:tc>
              <w:tc>
                <w:tcPr>
                  <w:tcW w:w="674" w:type="dxa"/>
                  <w:tcBorders>
                    <w:tl2br w:val="nil"/>
                    <w:tr2bl w:val="nil"/>
                  </w:tcBorders>
                  <w:shd w:val="clear" w:color="auto" w:fill="auto"/>
                  <w:vAlign w:val="center"/>
                </w:tcPr>
                <w:p w14:paraId="3E9DFEC6">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65</w:t>
                  </w:r>
                </w:p>
              </w:tc>
              <w:tc>
                <w:tcPr>
                  <w:tcW w:w="746" w:type="dxa"/>
                  <w:tcBorders>
                    <w:tl2br w:val="nil"/>
                    <w:tr2bl w:val="nil"/>
                  </w:tcBorders>
                  <w:shd w:val="clear" w:color="auto" w:fill="auto"/>
                  <w:vAlign w:val="center"/>
                </w:tcPr>
                <w:p w14:paraId="2C16E34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663D8AA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间断</w:t>
                  </w:r>
                </w:p>
              </w:tc>
            </w:tr>
            <w:tr w14:paraId="34DB8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09" w:type="dxa"/>
                  <w:tcBorders>
                    <w:tl2br w:val="nil"/>
                    <w:tr2bl w:val="nil"/>
                  </w:tcBorders>
                  <w:shd w:val="clear" w:color="auto" w:fill="auto"/>
                  <w:vAlign w:val="center"/>
                </w:tcPr>
                <w:p w14:paraId="01A66003">
                  <w:pPr>
                    <w:autoSpaceDE w:val="0"/>
                    <w:autoSpaceDN w:val="0"/>
                    <w:adjustRightInd w:val="0"/>
                    <w:snapToGrid w:val="0"/>
                    <w:jc w:val="center"/>
                    <w:rPr>
                      <w:rFonts w:hint="eastAsia" w:ascii="Times New Roman" w:hAnsi="Times New Roman" w:cs="Times New Roman"/>
                      <w:b w:val="0"/>
                      <w:color w:val="auto"/>
                      <w:sz w:val="21"/>
                      <w:szCs w:val="21"/>
                      <w:lang w:val="en-US" w:eastAsia="zh-CN"/>
                    </w:rPr>
                  </w:pPr>
                  <w:r>
                    <w:rPr>
                      <w:rFonts w:hint="default" w:ascii="Times New Roman" w:hAnsi="Times New Roman" w:cs="Times New Roman"/>
                      <w:color w:val="000000" w:themeColor="text1"/>
                      <w:szCs w:val="21"/>
                      <w:lang w:val="en-US" w:eastAsia="zh-CN"/>
                      <w14:textFill>
                        <w14:solidFill>
                          <w14:schemeClr w14:val="tx1"/>
                        </w14:solidFill>
                      </w14:textFill>
                    </w:rPr>
                    <w:t>筛分机</w:t>
                  </w:r>
                </w:p>
              </w:tc>
              <w:tc>
                <w:tcPr>
                  <w:tcW w:w="614" w:type="dxa"/>
                  <w:tcBorders>
                    <w:tl2br w:val="nil"/>
                    <w:tr2bl w:val="nil"/>
                  </w:tcBorders>
                  <w:shd w:val="clear" w:color="auto" w:fill="auto"/>
                  <w:vAlign w:val="center"/>
                </w:tcPr>
                <w:p w14:paraId="2C1357F1">
                  <w:pPr>
                    <w:adjustRightInd w:val="0"/>
                    <w:snapToGrid w:val="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75</w:t>
                  </w:r>
                </w:p>
              </w:tc>
              <w:tc>
                <w:tcPr>
                  <w:tcW w:w="576" w:type="dxa"/>
                  <w:tcBorders>
                    <w:tl2br w:val="nil"/>
                    <w:tr2bl w:val="nil"/>
                  </w:tcBorders>
                  <w:shd w:val="clear" w:color="auto" w:fill="auto"/>
                  <w:vAlign w:val="center"/>
                </w:tcPr>
                <w:p w14:paraId="20250CAC">
                  <w:pPr>
                    <w:jc w:val="center"/>
                    <w:rPr>
                      <w:rFonts w:hint="default"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vMerge w:val="continue"/>
                  <w:tcBorders>
                    <w:tl2br w:val="nil"/>
                    <w:tr2bl w:val="nil"/>
                  </w:tcBorders>
                  <w:shd w:val="clear" w:color="auto" w:fill="auto"/>
                  <w:vAlign w:val="center"/>
                </w:tcPr>
                <w:p w14:paraId="1CE31C8E">
                  <w:pPr>
                    <w:adjustRightInd w:val="0"/>
                    <w:snapToGrid w:val="0"/>
                    <w:jc w:val="center"/>
                    <w:rPr>
                      <w:rFonts w:hint="eastAsia" w:cs="Times New Roman"/>
                      <w:color w:val="auto"/>
                      <w:szCs w:val="21"/>
                      <w:lang w:val="en-US" w:eastAsia="zh-CN"/>
                    </w:rPr>
                  </w:pPr>
                </w:p>
              </w:tc>
              <w:tc>
                <w:tcPr>
                  <w:tcW w:w="522" w:type="dxa"/>
                  <w:tcBorders>
                    <w:tl2br w:val="nil"/>
                    <w:tr2bl w:val="nil"/>
                  </w:tcBorders>
                  <w:shd w:val="clear" w:color="auto" w:fill="auto"/>
                  <w:vAlign w:val="center"/>
                </w:tcPr>
                <w:p w14:paraId="0AE4BFD4">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15</w:t>
                  </w:r>
                </w:p>
              </w:tc>
              <w:tc>
                <w:tcPr>
                  <w:tcW w:w="523" w:type="dxa"/>
                  <w:tcBorders>
                    <w:tl2br w:val="nil"/>
                    <w:tr2bl w:val="nil"/>
                  </w:tcBorders>
                  <w:shd w:val="clear" w:color="auto" w:fill="auto"/>
                  <w:vAlign w:val="center"/>
                </w:tcPr>
                <w:p w14:paraId="47C20D4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11</w:t>
                  </w:r>
                </w:p>
              </w:tc>
              <w:tc>
                <w:tcPr>
                  <w:tcW w:w="468" w:type="dxa"/>
                  <w:tcBorders>
                    <w:tl2br w:val="nil"/>
                    <w:tr2bl w:val="nil"/>
                  </w:tcBorders>
                  <w:shd w:val="clear" w:color="auto" w:fill="auto"/>
                  <w:vAlign w:val="center"/>
                </w:tcPr>
                <w:p w14:paraId="198C397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509" w:type="dxa"/>
                  <w:tcBorders>
                    <w:tl2br w:val="nil"/>
                    <w:tr2bl w:val="nil"/>
                  </w:tcBorders>
                  <w:shd w:val="clear" w:color="auto" w:fill="auto"/>
                  <w:vAlign w:val="center"/>
                </w:tcPr>
                <w:p w14:paraId="15F50DDC">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6</w:t>
                  </w:r>
                </w:p>
              </w:tc>
              <w:tc>
                <w:tcPr>
                  <w:tcW w:w="746" w:type="dxa"/>
                  <w:tcBorders>
                    <w:tl2br w:val="nil"/>
                    <w:tr2bl w:val="nil"/>
                  </w:tcBorders>
                  <w:shd w:val="clear" w:color="auto" w:fill="auto"/>
                  <w:vAlign w:val="center"/>
                </w:tcPr>
                <w:p w14:paraId="091E2C0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674" w:type="dxa"/>
                  <w:tcBorders>
                    <w:tl2br w:val="nil"/>
                    <w:tr2bl w:val="nil"/>
                  </w:tcBorders>
                  <w:shd w:val="clear" w:color="auto" w:fill="auto"/>
                  <w:vAlign w:val="center"/>
                </w:tcPr>
                <w:p w14:paraId="4F0B6B6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60</w:t>
                  </w:r>
                </w:p>
              </w:tc>
              <w:tc>
                <w:tcPr>
                  <w:tcW w:w="746" w:type="dxa"/>
                  <w:tcBorders>
                    <w:tl2br w:val="nil"/>
                    <w:tr2bl w:val="nil"/>
                  </w:tcBorders>
                  <w:shd w:val="clear" w:color="auto" w:fill="auto"/>
                  <w:vAlign w:val="center"/>
                </w:tcPr>
                <w:p w14:paraId="1580AD3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513B92A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w:t>
                  </w:r>
                </w:p>
              </w:tc>
            </w:tr>
            <w:tr w14:paraId="6DDFD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09" w:type="dxa"/>
                  <w:tcBorders>
                    <w:tl2br w:val="nil"/>
                    <w:tr2bl w:val="nil"/>
                  </w:tcBorders>
                  <w:shd w:val="clear" w:color="auto" w:fill="auto"/>
                  <w:vAlign w:val="center"/>
                </w:tcPr>
                <w:p w14:paraId="7C40CF3E">
                  <w:pPr>
                    <w:autoSpaceDE w:val="0"/>
                    <w:autoSpaceDN w:val="0"/>
                    <w:adjustRightInd w:val="0"/>
                    <w:snapToGrid w:val="0"/>
                    <w:jc w:val="center"/>
                    <w:rPr>
                      <w:rFonts w:hint="eastAsia" w:ascii="Times New Roman" w:hAnsi="Times New Roman" w:cs="Times New Roman"/>
                      <w:b w:val="0"/>
                      <w:color w:val="auto"/>
                      <w:sz w:val="21"/>
                      <w:szCs w:val="21"/>
                      <w:lang w:val="en-US" w:eastAsia="zh-CN"/>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搅拌机</w:t>
                  </w:r>
                </w:p>
              </w:tc>
              <w:tc>
                <w:tcPr>
                  <w:tcW w:w="614" w:type="dxa"/>
                  <w:tcBorders>
                    <w:tl2br w:val="nil"/>
                    <w:tr2bl w:val="nil"/>
                  </w:tcBorders>
                  <w:shd w:val="clear" w:color="auto" w:fill="auto"/>
                  <w:vAlign w:val="center"/>
                </w:tcPr>
                <w:p w14:paraId="30DD4BBA">
                  <w:pPr>
                    <w:adjustRightInd w:val="0"/>
                    <w:snapToGrid w:val="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80</w:t>
                  </w:r>
                </w:p>
              </w:tc>
              <w:tc>
                <w:tcPr>
                  <w:tcW w:w="576" w:type="dxa"/>
                  <w:tcBorders>
                    <w:tl2br w:val="nil"/>
                    <w:tr2bl w:val="nil"/>
                  </w:tcBorders>
                  <w:shd w:val="clear" w:color="auto" w:fill="auto"/>
                  <w:vAlign w:val="center"/>
                </w:tcPr>
                <w:p w14:paraId="02F75D24">
                  <w:pPr>
                    <w:jc w:val="center"/>
                    <w:rPr>
                      <w:rFonts w:hint="default"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vMerge w:val="continue"/>
                  <w:tcBorders>
                    <w:tl2br w:val="nil"/>
                    <w:tr2bl w:val="nil"/>
                  </w:tcBorders>
                  <w:shd w:val="clear" w:color="auto" w:fill="auto"/>
                  <w:vAlign w:val="center"/>
                </w:tcPr>
                <w:p w14:paraId="67635D35">
                  <w:pPr>
                    <w:adjustRightInd w:val="0"/>
                    <w:snapToGrid w:val="0"/>
                    <w:jc w:val="center"/>
                    <w:rPr>
                      <w:rFonts w:hint="eastAsia" w:cs="Times New Roman"/>
                      <w:color w:val="auto"/>
                      <w:szCs w:val="21"/>
                      <w:lang w:val="en-US" w:eastAsia="zh-CN"/>
                    </w:rPr>
                  </w:pPr>
                </w:p>
              </w:tc>
              <w:tc>
                <w:tcPr>
                  <w:tcW w:w="522" w:type="dxa"/>
                  <w:tcBorders>
                    <w:tl2br w:val="nil"/>
                    <w:tr2bl w:val="nil"/>
                  </w:tcBorders>
                  <w:shd w:val="clear" w:color="auto" w:fill="auto"/>
                  <w:vAlign w:val="center"/>
                </w:tcPr>
                <w:p w14:paraId="1F134A9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18</w:t>
                  </w:r>
                </w:p>
              </w:tc>
              <w:tc>
                <w:tcPr>
                  <w:tcW w:w="523" w:type="dxa"/>
                  <w:tcBorders>
                    <w:tl2br w:val="nil"/>
                    <w:tr2bl w:val="nil"/>
                  </w:tcBorders>
                  <w:shd w:val="clear" w:color="auto" w:fill="auto"/>
                  <w:vAlign w:val="center"/>
                </w:tcPr>
                <w:p w14:paraId="049CC5B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11</w:t>
                  </w:r>
                </w:p>
              </w:tc>
              <w:tc>
                <w:tcPr>
                  <w:tcW w:w="468" w:type="dxa"/>
                  <w:tcBorders>
                    <w:tl2br w:val="nil"/>
                    <w:tr2bl w:val="nil"/>
                  </w:tcBorders>
                  <w:shd w:val="clear" w:color="auto" w:fill="auto"/>
                  <w:vAlign w:val="center"/>
                </w:tcPr>
                <w:p w14:paraId="0847B69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509" w:type="dxa"/>
                  <w:tcBorders>
                    <w:tl2br w:val="nil"/>
                    <w:tr2bl w:val="nil"/>
                  </w:tcBorders>
                  <w:shd w:val="clear" w:color="auto" w:fill="auto"/>
                  <w:vAlign w:val="center"/>
                </w:tcPr>
                <w:p w14:paraId="0F1AED07">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6</w:t>
                  </w:r>
                </w:p>
              </w:tc>
              <w:tc>
                <w:tcPr>
                  <w:tcW w:w="746" w:type="dxa"/>
                  <w:tcBorders>
                    <w:tl2br w:val="nil"/>
                    <w:tr2bl w:val="nil"/>
                  </w:tcBorders>
                  <w:shd w:val="clear" w:color="auto" w:fill="auto"/>
                  <w:vAlign w:val="center"/>
                </w:tcPr>
                <w:p w14:paraId="717CBED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674" w:type="dxa"/>
                  <w:tcBorders>
                    <w:tl2br w:val="nil"/>
                    <w:tr2bl w:val="nil"/>
                  </w:tcBorders>
                  <w:shd w:val="clear" w:color="auto" w:fill="auto"/>
                  <w:vAlign w:val="center"/>
                </w:tcPr>
                <w:p w14:paraId="398DC94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65</w:t>
                  </w:r>
                </w:p>
              </w:tc>
              <w:tc>
                <w:tcPr>
                  <w:tcW w:w="746" w:type="dxa"/>
                  <w:tcBorders>
                    <w:tl2br w:val="nil"/>
                    <w:tr2bl w:val="nil"/>
                  </w:tcBorders>
                  <w:shd w:val="clear" w:color="auto" w:fill="auto"/>
                  <w:vAlign w:val="center"/>
                </w:tcPr>
                <w:p w14:paraId="0C38B86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136883E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w:t>
                  </w:r>
                </w:p>
              </w:tc>
            </w:tr>
            <w:tr w14:paraId="6EF6D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09" w:type="dxa"/>
                  <w:tcBorders>
                    <w:tl2br w:val="nil"/>
                    <w:tr2bl w:val="nil"/>
                  </w:tcBorders>
                  <w:shd w:val="clear" w:color="auto" w:fill="auto"/>
                  <w:vAlign w:val="center"/>
                </w:tcPr>
                <w:p w14:paraId="017CA2C8">
                  <w:pPr>
                    <w:autoSpaceDE w:val="0"/>
                    <w:autoSpaceDN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烘干机</w:t>
                  </w:r>
                </w:p>
              </w:tc>
              <w:tc>
                <w:tcPr>
                  <w:tcW w:w="614" w:type="dxa"/>
                  <w:tcBorders>
                    <w:tl2br w:val="nil"/>
                    <w:tr2bl w:val="nil"/>
                  </w:tcBorders>
                  <w:shd w:val="clear" w:color="auto" w:fill="auto"/>
                  <w:vAlign w:val="center"/>
                </w:tcPr>
                <w:p w14:paraId="7537A029">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90</w:t>
                  </w:r>
                </w:p>
              </w:tc>
              <w:tc>
                <w:tcPr>
                  <w:tcW w:w="576" w:type="dxa"/>
                  <w:tcBorders>
                    <w:tl2br w:val="nil"/>
                    <w:tr2bl w:val="nil"/>
                  </w:tcBorders>
                  <w:shd w:val="clear" w:color="auto" w:fill="auto"/>
                  <w:vAlign w:val="center"/>
                </w:tcPr>
                <w:p w14:paraId="10833D3E">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1</w:t>
                  </w:r>
                </w:p>
              </w:tc>
              <w:tc>
                <w:tcPr>
                  <w:tcW w:w="1084" w:type="dxa"/>
                  <w:vMerge w:val="continue"/>
                  <w:tcBorders>
                    <w:tl2br w:val="nil"/>
                    <w:tr2bl w:val="nil"/>
                  </w:tcBorders>
                  <w:shd w:val="clear" w:color="auto" w:fill="auto"/>
                  <w:vAlign w:val="center"/>
                </w:tcPr>
                <w:p w14:paraId="2BCF9693">
                  <w:pPr>
                    <w:adjustRightInd w:val="0"/>
                    <w:snapToGrid w:val="0"/>
                    <w:jc w:val="center"/>
                    <w:rPr>
                      <w:rFonts w:hint="eastAsia" w:cs="Times New Roman"/>
                      <w:color w:val="auto"/>
                      <w:szCs w:val="21"/>
                      <w:lang w:val="en-US" w:eastAsia="zh-CN"/>
                    </w:rPr>
                  </w:pPr>
                </w:p>
              </w:tc>
              <w:tc>
                <w:tcPr>
                  <w:tcW w:w="522" w:type="dxa"/>
                  <w:tcBorders>
                    <w:tl2br w:val="nil"/>
                    <w:tr2bl w:val="nil"/>
                  </w:tcBorders>
                  <w:shd w:val="clear" w:color="auto" w:fill="auto"/>
                  <w:vAlign w:val="center"/>
                </w:tcPr>
                <w:p w14:paraId="50FAE49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19</w:t>
                  </w:r>
                </w:p>
              </w:tc>
              <w:tc>
                <w:tcPr>
                  <w:tcW w:w="523" w:type="dxa"/>
                  <w:tcBorders>
                    <w:tl2br w:val="nil"/>
                    <w:tr2bl w:val="nil"/>
                  </w:tcBorders>
                  <w:shd w:val="clear" w:color="auto" w:fill="auto"/>
                  <w:vAlign w:val="center"/>
                </w:tcPr>
                <w:p w14:paraId="616B8FA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468" w:type="dxa"/>
                  <w:tcBorders>
                    <w:tl2br w:val="nil"/>
                    <w:tr2bl w:val="nil"/>
                  </w:tcBorders>
                  <w:shd w:val="clear" w:color="auto" w:fill="auto"/>
                  <w:vAlign w:val="center"/>
                </w:tcPr>
                <w:p w14:paraId="6A5A21C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509" w:type="dxa"/>
                  <w:tcBorders>
                    <w:tl2br w:val="nil"/>
                    <w:tr2bl w:val="nil"/>
                  </w:tcBorders>
                  <w:shd w:val="clear" w:color="auto" w:fill="auto"/>
                  <w:vAlign w:val="center"/>
                </w:tcPr>
                <w:p w14:paraId="0E41528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w:t>
                  </w:r>
                </w:p>
              </w:tc>
              <w:tc>
                <w:tcPr>
                  <w:tcW w:w="746" w:type="dxa"/>
                  <w:tcBorders>
                    <w:tl2br w:val="nil"/>
                    <w:tr2bl w:val="nil"/>
                  </w:tcBorders>
                  <w:shd w:val="clear" w:color="auto" w:fill="auto"/>
                  <w:vAlign w:val="center"/>
                </w:tcPr>
                <w:p w14:paraId="57A7CF4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674" w:type="dxa"/>
                  <w:tcBorders>
                    <w:tl2br w:val="nil"/>
                    <w:tr2bl w:val="nil"/>
                  </w:tcBorders>
                  <w:shd w:val="clear" w:color="auto" w:fill="auto"/>
                  <w:vAlign w:val="center"/>
                </w:tcPr>
                <w:p w14:paraId="7C5C678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75</w:t>
                  </w:r>
                </w:p>
              </w:tc>
              <w:tc>
                <w:tcPr>
                  <w:tcW w:w="746" w:type="dxa"/>
                  <w:tcBorders>
                    <w:tl2br w:val="nil"/>
                    <w:tr2bl w:val="nil"/>
                  </w:tcBorders>
                  <w:shd w:val="clear" w:color="auto" w:fill="auto"/>
                  <w:vAlign w:val="center"/>
                </w:tcPr>
                <w:p w14:paraId="08717C2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784" w:type="dxa"/>
                  <w:tcBorders>
                    <w:tl2br w:val="nil"/>
                    <w:tr2bl w:val="nil"/>
                  </w:tcBorders>
                  <w:shd w:val="clear" w:color="auto" w:fill="auto"/>
                  <w:noWrap/>
                  <w:vAlign w:val="center"/>
                </w:tcPr>
                <w:p w14:paraId="3C4B571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间断</w:t>
                  </w:r>
                </w:p>
              </w:tc>
            </w:tr>
            <w:tr w14:paraId="36878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0" w:hRule="atLeast"/>
                <w:jc w:val="center"/>
              </w:trPr>
              <w:tc>
                <w:tcPr>
                  <w:tcW w:w="1009" w:type="dxa"/>
                  <w:tcBorders>
                    <w:tl2br w:val="nil"/>
                    <w:tr2bl w:val="nil"/>
                  </w:tcBorders>
                  <w:shd w:val="clear" w:color="auto" w:fill="auto"/>
                  <w:vAlign w:val="center"/>
                </w:tcPr>
                <w:p w14:paraId="4B240E74">
                  <w:pPr>
                    <w:autoSpaceDE w:val="0"/>
                    <w:autoSpaceDN w:val="0"/>
                    <w:adjustRightInd w:val="0"/>
                    <w:snapToGrid w:val="0"/>
                    <w:jc w:val="center"/>
                    <w:rPr>
                      <w:rFonts w:hint="eastAsia" w:ascii="Times New Roman" w:hAnsi="Times New Roman" w:cs="Times New Roman"/>
                      <w:b w:val="0"/>
                      <w:color w:val="auto"/>
                      <w:sz w:val="21"/>
                      <w:szCs w:val="21"/>
                      <w:lang w:val="en-US" w:eastAsia="zh-CN"/>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造粒机</w:t>
                  </w:r>
                </w:p>
              </w:tc>
              <w:tc>
                <w:tcPr>
                  <w:tcW w:w="614" w:type="dxa"/>
                  <w:tcBorders>
                    <w:tl2br w:val="nil"/>
                    <w:tr2bl w:val="nil"/>
                  </w:tcBorders>
                  <w:shd w:val="clear" w:color="auto" w:fill="auto"/>
                  <w:vAlign w:val="center"/>
                </w:tcPr>
                <w:p w14:paraId="04BE430E">
                  <w:pPr>
                    <w:adjustRightInd w:val="0"/>
                    <w:snapToGrid w:val="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80</w:t>
                  </w:r>
                </w:p>
              </w:tc>
              <w:tc>
                <w:tcPr>
                  <w:tcW w:w="576" w:type="dxa"/>
                  <w:tcBorders>
                    <w:tl2br w:val="nil"/>
                    <w:tr2bl w:val="nil"/>
                  </w:tcBorders>
                  <w:shd w:val="clear" w:color="auto" w:fill="auto"/>
                  <w:vAlign w:val="center"/>
                </w:tcPr>
                <w:p w14:paraId="42300A3C">
                  <w:pPr>
                    <w:jc w:val="center"/>
                    <w:rPr>
                      <w:rFonts w:hint="default" w:cs="Times New Roman"/>
                      <w:color w:val="auto"/>
                      <w:szCs w:val="21"/>
                      <w:lang w:val="en-US" w:eastAsia="zh-CN"/>
                    </w:rPr>
                  </w:pPr>
                  <w:r>
                    <w:rPr>
                      <w:rFonts w:hint="eastAsia" w:cs="Times New Roman"/>
                      <w:bCs/>
                      <w:color w:val="000000" w:themeColor="text1"/>
                      <w:szCs w:val="21"/>
                      <w:lang w:val="en-US" w:eastAsia="zh-CN"/>
                      <w14:textFill>
                        <w14:solidFill>
                          <w14:schemeClr w14:val="tx1"/>
                        </w14:solidFill>
                      </w14:textFill>
                    </w:rPr>
                    <w:t>2</w:t>
                  </w:r>
                </w:p>
              </w:tc>
              <w:tc>
                <w:tcPr>
                  <w:tcW w:w="1084" w:type="dxa"/>
                  <w:vMerge w:val="continue"/>
                  <w:tcBorders>
                    <w:tl2br w:val="nil"/>
                    <w:tr2bl w:val="nil"/>
                  </w:tcBorders>
                  <w:shd w:val="clear" w:color="auto" w:fill="auto"/>
                  <w:vAlign w:val="center"/>
                </w:tcPr>
                <w:p w14:paraId="189AE6D3">
                  <w:pPr>
                    <w:adjustRightInd w:val="0"/>
                    <w:snapToGrid w:val="0"/>
                    <w:jc w:val="center"/>
                    <w:rPr>
                      <w:rFonts w:hint="eastAsia" w:cs="Times New Roman"/>
                      <w:color w:val="auto"/>
                      <w:szCs w:val="21"/>
                      <w:lang w:val="en-US" w:eastAsia="zh-CN"/>
                    </w:rPr>
                  </w:pPr>
                </w:p>
              </w:tc>
              <w:tc>
                <w:tcPr>
                  <w:tcW w:w="522" w:type="dxa"/>
                  <w:tcBorders>
                    <w:tl2br w:val="nil"/>
                    <w:tr2bl w:val="nil"/>
                  </w:tcBorders>
                  <w:shd w:val="clear" w:color="auto" w:fill="auto"/>
                  <w:vAlign w:val="center"/>
                </w:tcPr>
                <w:p w14:paraId="1FBC230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20</w:t>
                  </w:r>
                </w:p>
              </w:tc>
              <w:tc>
                <w:tcPr>
                  <w:tcW w:w="523" w:type="dxa"/>
                  <w:tcBorders>
                    <w:tl2br w:val="nil"/>
                    <w:tr2bl w:val="nil"/>
                  </w:tcBorders>
                  <w:shd w:val="clear" w:color="auto" w:fill="auto"/>
                  <w:vAlign w:val="center"/>
                </w:tcPr>
                <w:p w14:paraId="3048004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w:t>
                  </w:r>
                </w:p>
              </w:tc>
              <w:tc>
                <w:tcPr>
                  <w:tcW w:w="468" w:type="dxa"/>
                  <w:tcBorders>
                    <w:tl2br w:val="nil"/>
                    <w:tr2bl w:val="nil"/>
                  </w:tcBorders>
                  <w:shd w:val="clear" w:color="auto" w:fill="auto"/>
                  <w:vAlign w:val="center"/>
                </w:tcPr>
                <w:p w14:paraId="68816E4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509" w:type="dxa"/>
                  <w:tcBorders>
                    <w:tl2br w:val="nil"/>
                    <w:tr2bl w:val="nil"/>
                  </w:tcBorders>
                  <w:shd w:val="clear" w:color="auto" w:fill="auto"/>
                  <w:vAlign w:val="center"/>
                </w:tcPr>
                <w:p w14:paraId="4C1552C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6</w:t>
                  </w:r>
                </w:p>
              </w:tc>
              <w:tc>
                <w:tcPr>
                  <w:tcW w:w="746" w:type="dxa"/>
                  <w:tcBorders>
                    <w:tl2br w:val="nil"/>
                    <w:tr2bl w:val="nil"/>
                  </w:tcBorders>
                  <w:shd w:val="clear" w:color="auto" w:fill="auto"/>
                  <w:vAlign w:val="center"/>
                </w:tcPr>
                <w:p w14:paraId="1C8CEFE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674" w:type="dxa"/>
                  <w:tcBorders>
                    <w:tl2br w:val="nil"/>
                    <w:tr2bl w:val="nil"/>
                  </w:tcBorders>
                  <w:shd w:val="clear" w:color="auto" w:fill="auto"/>
                  <w:vAlign w:val="center"/>
                </w:tcPr>
                <w:p w14:paraId="5A5D770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65</w:t>
                  </w:r>
                </w:p>
              </w:tc>
              <w:tc>
                <w:tcPr>
                  <w:tcW w:w="746" w:type="dxa"/>
                  <w:tcBorders>
                    <w:tl2br w:val="nil"/>
                    <w:tr2bl w:val="nil"/>
                  </w:tcBorders>
                  <w:shd w:val="clear" w:color="auto" w:fill="auto"/>
                  <w:vAlign w:val="center"/>
                </w:tcPr>
                <w:p w14:paraId="5861C7B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63E97FC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w:t>
                  </w:r>
                </w:p>
              </w:tc>
            </w:tr>
            <w:tr w14:paraId="262A5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09" w:type="dxa"/>
                  <w:tcBorders>
                    <w:tl2br w:val="nil"/>
                    <w:tr2bl w:val="nil"/>
                  </w:tcBorders>
                  <w:shd w:val="clear" w:color="auto" w:fill="auto"/>
                  <w:vAlign w:val="center"/>
                </w:tcPr>
                <w:p w14:paraId="142CF86B">
                  <w:pPr>
                    <w:autoSpaceDE w:val="0"/>
                    <w:autoSpaceDN w:val="0"/>
                    <w:adjustRightInd w:val="0"/>
                    <w:snapToGrid w:val="0"/>
                    <w:jc w:val="center"/>
                    <w:rPr>
                      <w:rFonts w:hint="default" w:ascii="宋体" w:hAnsi="宋体"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冷却机</w:t>
                  </w:r>
                </w:p>
              </w:tc>
              <w:tc>
                <w:tcPr>
                  <w:tcW w:w="614" w:type="dxa"/>
                  <w:tcBorders>
                    <w:tl2br w:val="nil"/>
                    <w:tr2bl w:val="nil"/>
                  </w:tcBorders>
                  <w:shd w:val="clear" w:color="auto" w:fill="auto"/>
                  <w:vAlign w:val="center"/>
                </w:tcPr>
                <w:p w14:paraId="13FF734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bCs/>
                      <w:color w:val="000000" w:themeColor="text1"/>
                      <w:szCs w:val="21"/>
                      <w:lang w:val="en-US" w:eastAsia="zh-CN"/>
                      <w14:textFill>
                        <w14:solidFill>
                          <w14:schemeClr w14:val="tx1"/>
                        </w14:solidFill>
                      </w14:textFill>
                    </w:rPr>
                    <w:t>80</w:t>
                  </w:r>
                </w:p>
              </w:tc>
              <w:tc>
                <w:tcPr>
                  <w:tcW w:w="576" w:type="dxa"/>
                  <w:tcBorders>
                    <w:tl2br w:val="nil"/>
                    <w:tr2bl w:val="nil"/>
                  </w:tcBorders>
                  <w:shd w:val="clear" w:color="auto" w:fill="auto"/>
                  <w:vAlign w:val="center"/>
                </w:tcPr>
                <w:p w14:paraId="18074528">
                  <w:pPr>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vMerge w:val="restart"/>
                  <w:tcBorders>
                    <w:tl2br w:val="nil"/>
                    <w:tr2bl w:val="nil"/>
                  </w:tcBorders>
                  <w:shd w:val="clear" w:color="auto" w:fill="auto"/>
                  <w:vAlign w:val="center"/>
                </w:tcPr>
                <w:p w14:paraId="16A8001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基础减振、厂房隔声、距离衰减</w:t>
                  </w:r>
                </w:p>
              </w:tc>
              <w:tc>
                <w:tcPr>
                  <w:tcW w:w="522" w:type="dxa"/>
                  <w:tcBorders>
                    <w:tl2br w:val="nil"/>
                    <w:tr2bl w:val="nil"/>
                  </w:tcBorders>
                  <w:shd w:val="clear" w:color="auto" w:fill="auto"/>
                  <w:vAlign w:val="center"/>
                </w:tcPr>
                <w:p w14:paraId="3A9482B3">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5</w:t>
                  </w:r>
                </w:p>
              </w:tc>
              <w:tc>
                <w:tcPr>
                  <w:tcW w:w="523" w:type="dxa"/>
                  <w:tcBorders>
                    <w:tl2br w:val="nil"/>
                    <w:tr2bl w:val="nil"/>
                  </w:tcBorders>
                  <w:shd w:val="clear" w:color="auto" w:fill="auto"/>
                  <w:vAlign w:val="center"/>
                </w:tcPr>
                <w:p w14:paraId="2FFCFCE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468" w:type="dxa"/>
                  <w:tcBorders>
                    <w:tl2br w:val="nil"/>
                    <w:tr2bl w:val="nil"/>
                  </w:tcBorders>
                  <w:shd w:val="clear" w:color="auto" w:fill="auto"/>
                  <w:vAlign w:val="center"/>
                </w:tcPr>
                <w:p w14:paraId="6E15B15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p>
              </w:tc>
              <w:tc>
                <w:tcPr>
                  <w:tcW w:w="509" w:type="dxa"/>
                  <w:tcBorders>
                    <w:tl2br w:val="nil"/>
                    <w:tr2bl w:val="nil"/>
                  </w:tcBorders>
                  <w:shd w:val="clear" w:color="auto" w:fill="auto"/>
                  <w:vAlign w:val="center"/>
                </w:tcPr>
                <w:p w14:paraId="02A6DFC2">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6</w:t>
                  </w:r>
                </w:p>
              </w:tc>
              <w:tc>
                <w:tcPr>
                  <w:tcW w:w="746" w:type="dxa"/>
                  <w:tcBorders>
                    <w:tl2br w:val="nil"/>
                    <w:tr2bl w:val="nil"/>
                  </w:tcBorders>
                  <w:shd w:val="clear" w:color="auto" w:fill="auto"/>
                  <w:vAlign w:val="center"/>
                </w:tcPr>
                <w:p w14:paraId="0D11BB69">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15</w:t>
                  </w:r>
                </w:p>
              </w:tc>
              <w:tc>
                <w:tcPr>
                  <w:tcW w:w="674" w:type="dxa"/>
                  <w:tcBorders>
                    <w:tl2br w:val="nil"/>
                    <w:tr2bl w:val="nil"/>
                  </w:tcBorders>
                  <w:shd w:val="clear" w:color="auto" w:fill="auto"/>
                  <w:vAlign w:val="center"/>
                </w:tcPr>
                <w:p w14:paraId="1FD2AB1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65</w:t>
                  </w:r>
                </w:p>
              </w:tc>
              <w:tc>
                <w:tcPr>
                  <w:tcW w:w="746" w:type="dxa"/>
                  <w:tcBorders>
                    <w:tl2br w:val="nil"/>
                    <w:tr2bl w:val="nil"/>
                  </w:tcBorders>
                  <w:shd w:val="clear" w:color="auto" w:fill="auto"/>
                  <w:vAlign w:val="center"/>
                </w:tcPr>
                <w:p w14:paraId="055CCE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21E94E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间断</w:t>
                  </w:r>
                </w:p>
              </w:tc>
            </w:tr>
            <w:tr w14:paraId="3A36B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 w:hRule="atLeast"/>
                <w:jc w:val="center"/>
              </w:trPr>
              <w:tc>
                <w:tcPr>
                  <w:tcW w:w="1009" w:type="dxa"/>
                  <w:tcBorders>
                    <w:tl2br w:val="nil"/>
                    <w:tr2bl w:val="nil"/>
                  </w:tcBorders>
                  <w:shd w:val="clear" w:color="auto" w:fill="auto"/>
                  <w:vAlign w:val="center"/>
                </w:tcPr>
                <w:p w14:paraId="14FA4E98">
                  <w:pPr>
                    <w:autoSpaceDE w:val="0"/>
                    <w:autoSpaceDN w:val="0"/>
                    <w:adjustRightInd w:val="0"/>
                    <w:snapToGrid w:val="0"/>
                    <w:jc w:val="center"/>
                    <w:rPr>
                      <w:rFonts w:hint="eastAsia" w:ascii="宋体" w:hAnsi="宋体"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000000" w:themeColor="text1"/>
                      <w:szCs w:val="21"/>
                      <w:lang w:val="en-US" w:eastAsia="zh-CN"/>
                      <w14:textFill>
                        <w14:solidFill>
                          <w14:schemeClr w14:val="tx1"/>
                        </w14:solidFill>
                      </w14:textFill>
                    </w:rPr>
                    <w:t>包装机</w:t>
                  </w:r>
                </w:p>
              </w:tc>
              <w:tc>
                <w:tcPr>
                  <w:tcW w:w="614" w:type="dxa"/>
                  <w:tcBorders>
                    <w:tl2br w:val="nil"/>
                    <w:tr2bl w:val="nil"/>
                  </w:tcBorders>
                  <w:shd w:val="clear" w:color="auto" w:fill="auto"/>
                  <w:vAlign w:val="center"/>
                </w:tcPr>
                <w:p w14:paraId="660D753B">
                  <w:pPr>
                    <w:adjustRightInd w:val="0"/>
                    <w:snapToGrid w:val="0"/>
                    <w:jc w:val="center"/>
                    <w:rPr>
                      <w:rFonts w:hint="default" w:ascii="Times New Roman" w:hAnsi="Times New Roman" w:cs="Times New Roman"/>
                      <w:b w:val="0"/>
                      <w:color w:val="auto"/>
                      <w:sz w:val="21"/>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75</w:t>
                  </w:r>
                </w:p>
              </w:tc>
              <w:tc>
                <w:tcPr>
                  <w:tcW w:w="576" w:type="dxa"/>
                  <w:tcBorders>
                    <w:tl2br w:val="nil"/>
                    <w:tr2bl w:val="nil"/>
                  </w:tcBorders>
                  <w:shd w:val="clear" w:color="auto" w:fill="auto"/>
                  <w:vAlign w:val="center"/>
                </w:tcPr>
                <w:p w14:paraId="07F59332">
                  <w:pPr>
                    <w:jc w:val="center"/>
                    <w:rPr>
                      <w:rFonts w:hint="default"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vMerge w:val="continue"/>
                  <w:tcBorders>
                    <w:tl2br w:val="nil"/>
                    <w:tr2bl w:val="nil"/>
                  </w:tcBorders>
                  <w:shd w:val="clear" w:color="auto" w:fill="auto"/>
                  <w:vAlign w:val="center"/>
                </w:tcPr>
                <w:p w14:paraId="64AA14D9">
                  <w:pPr>
                    <w:adjustRightInd w:val="0"/>
                    <w:snapToGrid w:val="0"/>
                    <w:jc w:val="center"/>
                    <w:rPr>
                      <w:rFonts w:hint="default" w:ascii="Times New Roman" w:hAnsi="Times New Roman" w:eastAsia="宋体" w:cs="Times New Roman"/>
                      <w:color w:val="auto"/>
                      <w:szCs w:val="21"/>
                      <w:lang w:val="en-US" w:eastAsia="zh-CN"/>
                    </w:rPr>
                  </w:pPr>
                </w:p>
              </w:tc>
              <w:tc>
                <w:tcPr>
                  <w:tcW w:w="522" w:type="dxa"/>
                  <w:tcBorders>
                    <w:tl2br w:val="nil"/>
                    <w:tr2bl w:val="nil"/>
                  </w:tcBorders>
                  <w:shd w:val="clear" w:color="auto" w:fill="auto"/>
                  <w:vAlign w:val="center"/>
                </w:tcPr>
                <w:p w14:paraId="7FB7DCC4">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21</w:t>
                  </w:r>
                </w:p>
              </w:tc>
              <w:tc>
                <w:tcPr>
                  <w:tcW w:w="523" w:type="dxa"/>
                  <w:tcBorders>
                    <w:tl2br w:val="nil"/>
                    <w:tr2bl w:val="nil"/>
                  </w:tcBorders>
                  <w:shd w:val="clear" w:color="auto" w:fill="auto"/>
                  <w:vAlign w:val="center"/>
                </w:tcPr>
                <w:p w14:paraId="3DEBBFD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w:t>
                  </w:r>
                </w:p>
              </w:tc>
              <w:tc>
                <w:tcPr>
                  <w:tcW w:w="468" w:type="dxa"/>
                  <w:tcBorders>
                    <w:tl2br w:val="nil"/>
                    <w:tr2bl w:val="nil"/>
                  </w:tcBorders>
                  <w:shd w:val="clear" w:color="auto" w:fill="auto"/>
                  <w:vAlign w:val="center"/>
                </w:tcPr>
                <w:p w14:paraId="3023049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509" w:type="dxa"/>
                  <w:tcBorders>
                    <w:tl2br w:val="nil"/>
                    <w:tr2bl w:val="nil"/>
                  </w:tcBorders>
                  <w:shd w:val="clear" w:color="auto" w:fill="auto"/>
                  <w:vAlign w:val="center"/>
                </w:tcPr>
                <w:p w14:paraId="582EC3E3">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w:t>
                  </w:r>
                </w:p>
              </w:tc>
              <w:tc>
                <w:tcPr>
                  <w:tcW w:w="746" w:type="dxa"/>
                  <w:tcBorders>
                    <w:tl2br w:val="nil"/>
                    <w:tr2bl w:val="nil"/>
                  </w:tcBorders>
                  <w:shd w:val="clear" w:color="auto" w:fill="auto"/>
                  <w:vAlign w:val="center"/>
                </w:tcPr>
                <w:p w14:paraId="1BB2850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15</w:t>
                  </w:r>
                </w:p>
              </w:tc>
              <w:tc>
                <w:tcPr>
                  <w:tcW w:w="674" w:type="dxa"/>
                  <w:tcBorders>
                    <w:tl2br w:val="nil"/>
                    <w:tr2bl w:val="nil"/>
                  </w:tcBorders>
                  <w:shd w:val="clear" w:color="auto" w:fill="auto"/>
                  <w:vAlign w:val="center"/>
                </w:tcPr>
                <w:p w14:paraId="0847C63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60</w:t>
                  </w:r>
                </w:p>
              </w:tc>
              <w:tc>
                <w:tcPr>
                  <w:tcW w:w="746" w:type="dxa"/>
                  <w:tcBorders>
                    <w:tl2br w:val="nil"/>
                    <w:tr2bl w:val="nil"/>
                  </w:tcBorders>
                  <w:shd w:val="clear" w:color="auto" w:fill="auto"/>
                  <w:vAlign w:val="center"/>
                </w:tcPr>
                <w:p w14:paraId="7E72F2A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784" w:type="dxa"/>
                  <w:tcBorders>
                    <w:tl2br w:val="nil"/>
                    <w:tr2bl w:val="nil"/>
                  </w:tcBorders>
                  <w:shd w:val="clear" w:color="auto" w:fill="auto"/>
                  <w:noWrap/>
                  <w:vAlign w:val="center"/>
                </w:tcPr>
                <w:p w14:paraId="5E5075B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w:t>
                  </w:r>
                </w:p>
              </w:tc>
            </w:tr>
            <w:tr w14:paraId="180ED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3" w:hRule="atLeast"/>
                <w:jc w:val="center"/>
              </w:trPr>
              <w:tc>
                <w:tcPr>
                  <w:tcW w:w="1009" w:type="dxa"/>
                  <w:tcBorders>
                    <w:tl2br w:val="nil"/>
                    <w:tr2bl w:val="nil"/>
                  </w:tcBorders>
                  <w:shd w:val="clear" w:color="auto" w:fill="auto"/>
                  <w:vAlign w:val="center"/>
                </w:tcPr>
                <w:p w14:paraId="7F3EE066">
                  <w:pPr>
                    <w:autoSpaceDE w:val="0"/>
                    <w:autoSpaceDN w:val="0"/>
                    <w:adjustRightInd w:val="0"/>
                    <w:snapToGrid w:val="0"/>
                    <w:jc w:val="center"/>
                    <w:rPr>
                      <w:rFonts w:hint="eastAsia" w:ascii="Times New Roman" w:hAnsi="Times New Roman" w:cs="Times New Roman"/>
                      <w:b w:val="0"/>
                      <w:color w:val="auto"/>
                      <w:sz w:val="21"/>
                      <w:szCs w:val="21"/>
                      <w:lang w:val="en-US"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除尘风机</w:t>
                  </w:r>
                </w:p>
              </w:tc>
              <w:tc>
                <w:tcPr>
                  <w:tcW w:w="614" w:type="dxa"/>
                  <w:tcBorders>
                    <w:tl2br w:val="nil"/>
                    <w:tr2bl w:val="nil"/>
                  </w:tcBorders>
                  <w:shd w:val="clear" w:color="auto" w:fill="auto"/>
                  <w:vAlign w:val="center"/>
                </w:tcPr>
                <w:p w14:paraId="6343ACE4">
                  <w:pPr>
                    <w:adjustRightInd w:val="0"/>
                    <w:snapToGrid w:val="0"/>
                    <w:jc w:val="center"/>
                    <w:rPr>
                      <w:rFonts w:hint="eastAsia" w:ascii="Times New Roman" w:hAnsi="Times New Roman" w:cs="Times New Roman"/>
                      <w:b w:val="0"/>
                      <w:color w:val="auto"/>
                      <w:sz w:val="21"/>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95</w:t>
                  </w:r>
                </w:p>
              </w:tc>
              <w:tc>
                <w:tcPr>
                  <w:tcW w:w="576" w:type="dxa"/>
                  <w:tcBorders>
                    <w:tl2br w:val="nil"/>
                    <w:tr2bl w:val="nil"/>
                  </w:tcBorders>
                  <w:shd w:val="clear" w:color="auto" w:fill="auto"/>
                  <w:vAlign w:val="center"/>
                </w:tcPr>
                <w:p w14:paraId="4D49F27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vMerge w:val="continue"/>
                  <w:tcBorders>
                    <w:tl2br w:val="nil"/>
                    <w:tr2bl w:val="nil"/>
                  </w:tcBorders>
                  <w:shd w:val="clear" w:color="auto" w:fill="auto"/>
                  <w:vAlign w:val="center"/>
                </w:tcPr>
                <w:p w14:paraId="52B849D2">
                  <w:pPr>
                    <w:adjustRightInd w:val="0"/>
                    <w:snapToGrid w:val="0"/>
                    <w:jc w:val="center"/>
                    <w:rPr>
                      <w:rFonts w:hint="default" w:ascii="Times New Roman" w:hAnsi="Times New Roman" w:eastAsia="宋体" w:cs="Times New Roman"/>
                      <w:color w:val="auto"/>
                      <w:szCs w:val="21"/>
                      <w:lang w:val="en-US" w:eastAsia="zh-CN"/>
                    </w:rPr>
                  </w:pPr>
                </w:p>
              </w:tc>
              <w:tc>
                <w:tcPr>
                  <w:tcW w:w="522" w:type="dxa"/>
                  <w:tcBorders>
                    <w:tl2br w:val="nil"/>
                    <w:tr2bl w:val="nil"/>
                  </w:tcBorders>
                  <w:shd w:val="clear" w:color="auto" w:fill="auto"/>
                  <w:vAlign w:val="center"/>
                </w:tcPr>
                <w:p w14:paraId="6BA4760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15</w:t>
                  </w:r>
                </w:p>
              </w:tc>
              <w:tc>
                <w:tcPr>
                  <w:tcW w:w="523" w:type="dxa"/>
                  <w:tcBorders>
                    <w:tl2br w:val="nil"/>
                    <w:tr2bl w:val="nil"/>
                  </w:tcBorders>
                  <w:shd w:val="clear" w:color="auto" w:fill="auto"/>
                  <w:vAlign w:val="center"/>
                </w:tcPr>
                <w:p w14:paraId="702034E3">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20</w:t>
                  </w:r>
                </w:p>
              </w:tc>
              <w:tc>
                <w:tcPr>
                  <w:tcW w:w="468" w:type="dxa"/>
                  <w:tcBorders>
                    <w:tl2br w:val="nil"/>
                    <w:tr2bl w:val="nil"/>
                  </w:tcBorders>
                  <w:shd w:val="clear" w:color="auto" w:fill="auto"/>
                  <w:vAlign w:val="center"/>
                </w:tcPr>
                <w:p w14:paraId="4DBE7BA2">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1</w:t>
                  </w:r>
                </w:p>
              </w:tc>
              <w:tc>
                <w:tcPr>
                  <w:tcW w:w="509" w:type="dxa"/>
                  <w:tcBorders>
                    <w:tl2br w:val="nil"/>
                    <w:tr2bl w:val="nil"/>
                  </w:tcBorders>
                  <w:shd w:val="clear" w:color="auto" w:fill="auto"/>
                  <w:vAlign w:val="center"/>
                </w:tcPr>
                <w:p w14:paraId="28CC044C">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8</w:t>
                  </w:r>
                </w:p>
              </w:tc>
              <w:tc>
                <w:tcPr>
                  <w:tcW w:w="746" w:type="dxa"/>
                  <w:tcBorders>
                    <w:tl2br w:val="nil"/>
                    <w:tr2bl w:val="nil"/>
                  </w:tcBorders>
                  <w:shd w:val="clear" w:color="auto" w:fill="auto"/>
                  <w:vAlign w:val="center"/>
                </w:tcPr>
                <w:p w14:paraId="0FB30405">
                  <w:pPr>
                    <w:adjustRightInd w:val="0"/>
                    <w:snapToGrid w:val="0"/>
                    <w:jc w:val="center"/>
                    <w:rPr>
                      <w:rFonts w:hint="eastAsia"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674" w:type="dxa"/>
                  <w:tcBorders>
                    <w:tl2br w:val="nil"/>
                    <w:tr2bl w:val="nil"/>
                  </w:tcBorders>
                  <w:shd w:val="clear" w:color="auto" w:fill="auto"/>
                  <w:vAlign w:val="center"/>
                </w:tcPr>
                <w:p w14:paraId="423799B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80</w:t>
                  </w:r>
                </w:p>
              </w:tc>
              <w:tc>
                <w:tcPr>
                  <w:tcW w:w="746" w:type="dxa"/>
                  <w:tcBorders>
                    <w:tl2br w:val="nil"/>
                    <w:tr2bl w:val="nil"/>
                  </w:tcBorders>
                  <w:shd w:val="clear" w:color="auto" w:fill="auto"/>
                  <w:vAlign w:val="center"/>
                </w:tcPr>
                <w:p w14:paraId="5E3143B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0328B1A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w:t>
                  </w:r>
                </w:p>
              </w:tc>
            </w:tr>
            <w:tr w14:paraId="003FB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09" w:type="dxa"/>
                  <w:tcBorders>
                    <w:tl2br w:val="nil"/>
                    <w:tr2bl w:val="nil"/>
                  </w:tcBorders>
                  <w:shd w:val="clear" w:color="auto" w:fill="auto"/>
                  <w:vAlign w:val="center"/>
                </w:tcPr>
                <w:p w14:paraId="45445CA1">
                  <w:pPr>
                    <w:autoSpaceDE w:val="0"/>
                    <w:autoSpaceDN w:val="0"/>
                    <w:adjustRightInd w:val="0"/>
                    <w:snapToGrid w:val="0"/>
                    <w:jc w:val="center"/>
                    <w:rPr>
                      <w:rFonts w:hint="default" w:eastAsia="宋体" w:cs="Times New Roman"/>
                      <w:color w:val="auto"/>
                      <w:szCs w:val="21"/>
                      <w:lang w:val="en-US"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除臭风机</w:t>
                  </w:r>
                </w:p>
              </w:tc>
              <w:tc>
                <w:tcPr>
                  <w:tcW w:w="614" w:type="dxa"/>
                  <w:tcBorders>
                    <w:tl2br w:val="nil"/>
                    <w:tr2bl w:val="nil"/>
                  </w:tcBorders>
                  <w:shd w:val="clear" w:color="auto" w:fill="auto"/>
                  <w:vAlign w:val="center"/>
                </w:tcPr>
                <w:p w14:paraId="1344CCC3">
                  <w:pPr>
                    <w:adjustRightInd w:val="0"/>
                    <w:snapToGrid w:val="0"/>
                    <w:jc w:val="center"/>
                    <w:rPr>
                      <w:rFonts w:hint="eastAsia"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9</w:t>
                  </w:r>
                  <w:r>
                    <w:rPr>
                      <w:rFonts w:hint="eastAsia" w:cs="Times New Roman"/>
                      <w:bCs/>
                      <w:color w:val="000000" w:themeColor="text1"/>
                      <w:szCs w:val="21"/>
                      <w:lang w:val="en-US" w:eastAsia="zh-CN"/>
                      <w14:textFill>
                        <w14:solidFill>
                          <w14:schemeClr w14:val="tx1"/>
                        </w14:solidFill>
                      </w14:textFill>
                    </w:rPr>
                    <w:t>5</w:t>
                  </w:r>
                </w:p>
              </w:tc>
              <w:tc>
                <w:tcPr>
                  <w:tcW w:w="576" w:type="dxa"/>
                  <w:tcBorders>
                    <w:tl2br w:val="nil"/>
                    <w:tr2bl w:val="nil"/>
                  </w:tcBorders>
                  <w:shd w:val="clear" w:color="auto" w:fill="auto"/>
                  <w:vAlign w:val="center"/>
                </w:tcPr>
                <w:p w14:paraId="4ACA033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c>
                <w:tcPr>
                  <w:tcW w:w="1084" w:type="dxa"/>
                  <w:tcBorders>
                    <w:tl2br w:val="nil"/>
                    <w:tr2bl w:val="nil"/>
                  </w:tcBorders>
                  <w:shd w:val="clear" w:color="auto" w:fill="auto"/>
                  <w:vAlign w:val="center"/>
                </w:tcPr>
                <w:p w14:paraId="0173A18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厂房隔声、距离衰减</w:t>
                  </w:r>
                </w:p>
              </w:tc>
              <w:tc>
                <w:tcPr>
                  <w:tcW w:w="522" w:type="dxa"/>
                  <w:tcBorders>
                    <w:tl2br w:val="nil"/>
                    <w:tr2bl w:val="nil"/>
                  </w:tcBorders>
                  <w:shd w:val="clear" w:color="auto" w:fill="auto"/>
                  <w:vAlign w:val="center"/>
                </w:tcPr>
                <w:p w14:paraId="56A982E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w:t>
                  </w:r>
                </w:p>
              </w:tc>
              <w:tc>
                <w:tcPr>
                  <w:tcW w:w="523" w:type="dxa"/>
                  <w:tcBorders>
                    <w:tl2br w:val="nil"/>
                    <w:tr2bl w:val="nil"/>
                  </w:tcBorders>
                  <w:shd w:val="clear" w:color="auto" w:fill="auto"/>
                  <w:vAlign w:val="center"/>
                </w:tcPr>
                <w:p w14:paraId="32655914">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468" w:type="dxa"/>
                  <w:tcBorders>
                    <w:tl2br w:val="nil"/>
                    <w:tr2bl w:val="nil"/>
                  </w:tcBorders>
                  <w:shd w:val="clear" w:color="auto" w:fill="auto"/>
                  <w:vAlign w:val="center"/>
                </w:tcPr>
                <w:p w14:paraId="1FD25E83">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509" w:type="dxa"/>
                  <w:tcBorders>
                    <w:tl2br w:val="nil"/>
                    <w:tr2bl w:val="nil"/>
                  </w:tcBorders>
                  <w:shd w:val="clear" w:color="auto" w:fill="auto"/>
                  <w:vAlign w:val="center"/>
                </w:tcPr>
                <w:p w14:paraId="573470D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w:t>
                  </w:r>
                </w:p>
              </w:tc>
              <w:tc>
                <w:tcPr>
                  <w:tcW w:w="746" w:type="dxa"/>
                  <w:tcBorders>
                    <w:tl2br w:val="nil"/>
                    <w:tr2bl w:val="nil"/>
                  </w:tcBorders>
                  <w:shd w:val="clear" w:color="auto" w:fill="auto"/>
                  <w:vAlign w:val="center"/>
                </w:tcPr>
                <w:p w14:paraId="081ACB5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15</w:t>
                  </w:r>
                </w:p>
              </w:tc>
              <w:tc>
                <w:tcPr>
                  <w:tcW w:w="674" w:type="dxa"/>
                  <w:tcBorders>
                    <w:tl2br w:val="nil"/>
                    <w:tr2bl w:val="nil"/>
                  </w:tcBorders>
                  <w:shd w:val="clear" w:color="auto" w:fill="auto"/>
                  <w:vAlign w:val="center"/>
                </w:tcPr>
                <w:p w14:paraId="6D1172D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80</w:t>
                  </w:r>
                </w:p>
              </w:tc>
              <w:tc>
                <w:tcPr>
                  <w:tcW w:w="746" w:type="dxa"/>
                  <w:tcBorders>
                    <w:tl2br w:val="nil"/>
                    <w:tr2bl w:val="nil"/>
                  </w:tcBorders>
                  <w:shd w:val="clear" w:color="auto" w:fill="auto"/>
                  <w:vAlign w:val="center"/>
                </w:tcPr>
                <w:p w14:paraId="4D9A385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784" w:type="dxa"/>
                  <w:tcBorders>
                    <w:tl2br w:val="nil"/>
                    <w:tr2bl w:val="nil"/>
                  </w:tcBorders>
                  <w:shd w:val="clear" w:color="auto" w:fill="auto"/>
                  <w:noWrap/>
                  <w:vAlign w:val="center"/>
                </w:tcPr>
                <w:p w14:paraId="31D89B2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w:t>
                  </w:r>
                </w:p>
              </w:tc>
            </w:tr>
          </w:tbl>
          <w:p w14:paraId="3A35577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1）</w:t>
            </w:r>
            <w:r>
              <w:rPr>
                <w:rFonts w:hint="default" w:ascii="Times New Roman" w:hAnsi="Times New Roman" w:cs="Times New Roman"/>
                <w:bCs/>
                <w:color w:val="auto"/>
                <w:sz w:val="24"/>
                <w:szCs w:val="24"/>
                <w:lang w:val="en-US" w:eastAsia="zh-CN"/>
              </w:rPr>
              <w:t>降噪措施</w:t>
            </w:r>
            <w:r>
              <w:rPr>
                <w:rFonts w:hint="eastAsia" w:cs="Times New Roman"/>
                <w:bCs/>
                <w:color w:val="auto"/>
                <w:sz w:val="24"/>
                <w:szCs w:val="24"/>
                <w:lang w:val="en-US" w:eastAsia="zh-CN"/>
              </w:rPr>
              <w:t>：</w:t>
            </w:r>
          </w:p>
          <w:p w14:paraId="08FF8CF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为确保整个企业在日常生产过程中设备噪声不对周边环境产生不良影响，能够做到达标排放，同时给车间操作人员创造良好的工作环境，此外，本评价要求建设单位做好以下工作，具体如下：</w:t>
            </w:r>
          </w:p>
          <w:p w14:paraId="1CC694C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①注意设备选型及安装。在设计和设备采购阶段，尽量选用加工精度高、运行噪声低的设备，以从声源上降低设备本身噪声；</w:t>
            </w:r>
          </w:p>
          <w:p w14:paraId="0225A359">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②重视整体设计。对设备噪声，最好能将高噪声设备尽量布置在车间中部，尽可能远离厂区边界，周围设置低噪声设备，避免将其布置在靠近边界的位置；对水泵基础做隔振垫层处理，以便有效隔绝通过基础、地面传递的固体声，进行隔声处理；</w:t>
            </w:r>
          </w:p>
          <w:p w14:paraId="6E21ABB9">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③平时生产中需加强对各设备的维修、保养，定期维护设备，确保设备处于良好的运转状态，杜绝因设备不正常运转而产生的高噪声现象，必要时应及时更换；</w:t>
            </w:r>
          </w:p>
          <w:p w14:paraId="5E0C257A">
            <w:pPr>
              <w:keepNext/>
              <w:keepLines/>
              <w:pageBreakBefore w:val="0"/>
              <w:widowControl/>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预测模式</w:t>
            </w:r>
          </w:p>
          <w:p w14:paraId="062B77A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1）条件概化</w:t>
            </w:r>
          </w:p>
          <w:p w14:paraId="108A25A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①所有产噪设备均在正常工况条件下运行；</w:t>
            </w:r>
          </w:p>
          <w:p w14:paraId="672DF09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②室内噪声源考虑声源所在厂房围护结构处的声屏蔽作用；</w:t>
            </w:r>
          </w:p>
          <w:p w14:paraId="58494F9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③考虑声源至预测点的距离衰减，忽略传播中建筑物的阻挡、地面反射以及空气吸收、雨、雪、温度等影响。</w:t>
            </w:r>
          </w:p>
          <w:p w14:paraId="7B07E58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2）室内声源噪声预测模式</w:t>
            </w:r>
          </w:p>
          <w:p w14:paraId="193A8400">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本项目仅考虑距离衰减值，忽略大气吸收、障碍物屏障等因素，从最为不利的情况出发，根据《环境影响评价技术导则 声环境》（HJ2.4-2021）的要求，采用以下计算公式计算某一室内声源靠近围护结构处产生的倍频</w:t>
            </w:r>
            <w:r>
              <w:rPr>
                <w:rFonts w:hint="eastAsia" w:cs="Times New Roman"/>
                <w:bCs/>
                <w:color w:val="auto"/>
                <w:sz w:val="24"/>
                <w:szCs w:val="24"/>
                <w:lang w:val="en-US" w:eastAsia="zh-CN"/>
              </w:rPr>
              <w:t>噪声</w:t>
            </w:r>
            <w:r>
              <w:rPr>
                <w:rFonts w:hint="default" w:ascii="Times New Roman" w:hAnsi="Times New Roman" w:cs="Times New Roman"/>
                <w:bCs/>
                <w:color w:val="auto"/>
                <w:sz w:val="24"/>
                <w:szCs w:val="24"/>
                <w:lang w:val="en-US" w:eastAsia="zh-CN"/>
              </w:rPr>
              <w:t>压级或 A 声级：</w:t>
            </w:r>
          </w:p>
          <w:p w14:paraId="607BD9A8">
            <w:pPr>
              <w:keepNext/>
              <w:keepLines/>
              <w:pageBreakBefore w:val="0"/>
              <w:widowControl/>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rPr>
              <w:drawing>
                <wp:inline distT="0" distB="0" distL="0" distR="0">
                  <wp:extent cx="1845945" cy="424815"/>
                  <wp:effectExtent l="0" t="0" r="1905" b="13335"/>
                  <wp:docPr id="1042" name="图片 7"/>
                  <wp:cNvGraphicFramePr/>
                  <a:graphic xmlns:a="http://schemas.openxmlformats.org/drawingml/2006/main">
                    <a:graphicData uri="http://schemas.openxmlformats.org/drawingml/2006/picture">
                      <pic:pic xmlns:pic="http://schemas.openxmlformats.org/drawingml/2006/picture">
                        <pic:nvPicPr>
                          <pic:cNvPr id="1042" name="图片 7"/>
                          <pic:cNvPicPr/>
                        </pic:nvPicPr>
                        <pic:blipFill>
                          <a:blip r:embed="rId20" cstate="print"/>
                          <a:srcRect/>
                          <a:stretch>
                            <a:fillRect/>
                          </a:stretch>
                        </pic:blipFill>
                        <pic:spPr>
                          <a:xfrm>
                            <a:off x="0" y="0"/>
                            <a:ext cx="1845945" cy="424815"/>
                          </a:xfrm>
                          <a:prstGeom prst="rect">
                            <a:avLst/>
                          </a:prstGeom>
                          <a:ln>
                            <a:noFill/>
                          </a:ln>
                        </pic:spPr>
                      </pic:pic>
                    </a:graphicData>
                  </a:graphic>
                </wp:inline>
              </w:drawing>
            </w:r>
          </w:p>
          <w:p w14:paraId="5E460E1F">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式中：Lp1——靠近开口处（或窗户）室内某倍频带的声压级或A声级，dB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 </w:t>
            </w:r>
          </w:p>
          <w:p w14:paraId="3448A749">
            <w:pPr>
              <w:keepNext/>
              <w:keepLines/>
              <w:pageBreakBefore w:val="0"/>
              <w:widowControl/>
              <w:kinsoku/>
              <w:wordWrap/>
              <w:overflowPunct/>
              <w:topLinePunct w:val="0"/>
              <w:autoSpaceDE/>
              <w:autoSpaceDN/>
              <w:bidi w:val="0"/>
              <w:adjustRightInd/>
              <w:snapToGrid/>
              <w:spacing w:beforeAutospacing="0" w:afterAutospacing="0"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 ——点声源声功率级（A 计权或倍频带），dB</w:t>
            </w:r>
          </w:p>
          <w:p w14:paraId="045CF424">
            <w:pPr>
              <w:keepNext/>
              <w:keepLines/>
              <w:pageBreakBefore w:val="0"/>
              <w:widowControl/>
              <w:kinsoku/>
              <w:wordWrap/>
              <w:overflowPunct/>
              <w:topLinePunct w:val="0"/>
              <w:autoSpaceDE/>
              <w:autoSpaceDN/>
              <w:bidi w:val="0"/>
              <w:adjustRightInd/>
              <w:snapToGrid/>
              <w:spacing w:beforeAutospacing="0" w:afterAutospacing="0" w:line="360" w:lineRule="auto"/>
              <w:ind w:left="1677" w:leftChars="570" w:hanging="480" w:hanging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Q —指向性因数；通常对无指向性声源，当声源放在房间中心时，Q=1；当放在一面墙的中心时，Q=2；当放在两面墙夹角处时，Q=4；当放在三面墙夹角处时，Q=8； </w:t>
            </w:r>
          </w:p>
          <w:p w14:paraId="79F29BA7">
            <w:pPr>
              <w:keepNext/>
              <w:keepLines/>
              <w:pageBreakBefore w:val="0"/>
              <w:widowControl/>
              <w:kinsoku/>
              <w:wordWrap/>
              <w:overflowPunct/>
              <w:topLinePunct w:val="0"/>
              <w:autoSpaceDE/>
              <w:autoSpaceDN/>
              <w:bidi w:val="0"/>
              <w:adjustRightInd/>
              <w:snapToGrid/>
              <w:spacing w:beforeAutospacing="0" w:afterAutospacing="0"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 —房间常数；R</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Sα</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 xml:space="preserve"> α</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，S为房间内表面面积，m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63203A39">
            <w:pPr>
              <w:keepNext/>
              <w:keepLines/>
              <w:pageBreakBefore w:val="0"/>
              <w:widowControl/>
              <w:kinsoku/>
              <w:wordWrap/>
              <w:overflowPunct/>
              <w:topLinePunct w:val="0"/>
              <w:autoSpaceDE/>
              <w:autoSpaceDN/>
              <w:bidi w:val="0"/>
              <w:adjustRightInd/>
              <w:snapToGrid/>
              <w:spacing w:beforeAutospacing="0" w:afterAutospacing="0" w:line="360" w:lineRule="auto"/>
              <w:ind w:firstLine="2880" w:firstLineChars="1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α为平均吸声系数； </w:t>
            </w:r>
          </w:p>
          <w:p w14:paraId="1DC5AA97">
            <w:pPr>
              <w:keepNext/>
              <w:keepLines/>
              <w:pageBreakBefore w:val="0"/>
              <w:widowControl/>
              <w:kinsoku/>
              <w:wordWrap/>
              <w:overflowPunct/>
              <w:topLinePunct w:val="0"/>
              <w:autoSpaceDE/>
              <w:autoSpaceDN/>
              <w:bidi w:val="0"/>
              <w:adjustRightInd/>
              <w:snapToGrid/>
              <w:spacing w:beforeAutospacing="0" w:afterAutospacing="0"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r—声源到靠近围护结构某点处的距离，m。 </w:t>
            </w:r>
          </w:p>
          <w:p w14:paraId="05068A33">
            <w:pPr>
              <w:keepNext/>
              <w:keepLines/>
              <w:pageBreakBefore w:val="0"/>
              <w:widowControl/>
              <w:numPr>
                <w:ilvl w:val="0"/>
                <w:numId w:val="9"/>
              </w:numPr>
              <w:kinsoku/>
              <w:wordWrap/>
              <w:overflowPunct/>
              <w:topLinePunct w:val="0"/>
              <w:autoSpaceDE/>
              <w:autoSpaceDN/>
              <w:bidi w:val="0"/>
              <w:adjustRightInd/>
              <w:snapToGrid/>
              <w:spacing w:beforeAutospacing="0" w:afterAutospacing="0" w:line="360" w:lineRule="auto"/>
              <w:ind w:firstLine="960" w:firstLineChars="4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总等效声级</w:t>
            </w:r>
          </w:p>
          <w:p w14:paraId="7A9FD958">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根据上式计算出所有室内声源在围护结构处产生的 i倍频带叠加声压级：</w:t>
            </w:r>
          </w:p>
          <w:p w14:paraId="0F33A874">
            <w:pPr>
              <w:keepNext/>
              <w:keepLines/>
              <w:pageBreakBefore w:val="0"/>
              <w:widowControl/>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rPr>
              <w:drawing>
                <wp:inline distT="0" distB="0" distL="0" distR="0">
                  <wp:extent cx="1438275" cy="416560"/>
                  <wp:effectExtent l="0" t="0" r="9525" b="2540"/>
                  <wp:docPr id="1043" name="图片 8"/>
                  <wp:cNvGraphicFramePr/>
                  <a:graphic xmlns:a="http://schemas.openxmlformats.org/drawingml/2006/main">
                    <a:graphicData uri="http://schemas.openxmlformats.org/drawingml/2006/picture">
                      <pic:pic xmlns:pic="http://schemas.openxmlformats.org/drawingml/2006/picture">
                        <pic:nvPicPr>
                          <pic:cNvPr id="1043" name="图片 8"/>
                          <pic:cNvPicPr/>
                        </pic:nvPicPr>
                        <pic:blipFill>
                          <a:blip r:embed="rId21" cstate="print"/>
                          <a:srcRect/>
                          <a:stretch>
                            <a:fillRect/>
                          </a:stretch>
                        </pic:blipFill>
                        <pic:spPr>
                          <a:xfrm>
                            <a:off x="0" y="0"/>
                            <a:ext cx="1438275" cy="416560"/>
                          </a:xfrm>
                          <a:prstGeom prst="rect">
                            <a:avLst/>
                          </a:prstGeom>
                          <a:ln>
                            <a:noFill/>
                          </a:ln>
                        </pic:spPr>
                      </pic:pic>
                    </a:graphicData>
                  </a:graphic>
                </wp:inline>
              </w:drawing>
            </w:r>
          </w:p>
          <w:p w14:paraId="211DB10A">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式中：Lp1(T)—靠近围护结构处室内N个声源的叠加声压级，dB；</w:t>
            </w:r>
          </w:p>
          <w:p w14:paraId="3CED6A56">
            <w:pPr>
              <w:keepNext/>
              <w:keepLines/>
              <w:pageBreakBefore w:val="0"/>
              <w:widowControl/>
              <w:kinsoku/>
              <w:wordWrap/>
              <w:overflowPunct/>
              <w:topLinePunct w:val="0"/>
              <w:autoSpaceDE/>
              <w:autoSpaceDN/>
              <w:bidi w:val="0"/>
              <w:adjustRightInd/>
              <w:snapToGrid/>
              <w:spacing w:beforeAutospacing="0" w:afterAutospacing="0"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Lp1j(T)—室内 j 声源声压级，dB； </w:t>
            </w:r>
          </w:p>
          <w:p w14:paraId="066C0665">
            <w:pPr>
              <w:keepNext/>
              <w:keepLines/>
              <w:pageBreakBefore w:val="0"/>
              <w:widowControl/>
              <w:kinsoku/>
              <w:wordWrap/>
              <w:overflowPunct/>
              <w:topLinePunct w:val="0"/>
              <w:autoSpaceDE/>
              <w:autoSpaceDN/>
              <w:bidi w:val="0"/>
              <w:adjustRightInd/>
              <w:snapToGrid/>
              <w:spacing w:beforeAutospacing="0" w:afterAutospacing="0" w:line="360" w:lineRule="auto"/>
              <w:ind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N—室内声源总数</w:t>
            </w:r>
            <w:r>
              <w:rPr>
                <w:rFonts w:hint="default" w:ascii="Times New Roman" w:hAnsi="Times New Roman" w:eastAsia="宋体" w:cs="Times New Roman"/>
                <w:color w:val="auto"/>
                <w:sz w:val="24"/>
                <w:szCs w:val="24"/>
                <w:lang w:val="en-US" w:eastAsia="zh-CN"/>
              </w:rPr>
              <w:t>。</w:t>
            </w:r>
          </w:p>
          <w:p w14:paraId="5D5C2BAE">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（4）预测结果达标分析</w:t>
            </w:r>
          </w:p>
          <w:p w14:paraId="023F1A6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rPr>
            </w:pPr>
            <w:r>
              <w:rPr>
                <w:rFonts w:hint="default" w:ascii="Times New Roman" w:hAnsi="Times New Roman" w:eastAsia="宋体" w:cs="Times New Roman"/>
                <w:color w:val="auto"/>
                <w:sz w:val="24"/>
                <w:szCs w:val="24"/>
              </w:rPr>
              <w:t>本项目营运后各厂界噪声贡献值预测结果详见表4-</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w:t>
            </w:r>
          </w:p>
          <w:p w14:paraId="339E42AD">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2、噪声环境影响分析</w:t>
            </w:r>
          </w:p>
          <w:p w14:paraId="7312C551">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在综合考虑距离衰减，</w:t>
            </w:r>
            <w:r>
              <w:rPr>
                <w:rFonts w:hint="default" w:ascii="Times New Roman" w:hAnsi="Times New Roman" w:eastAsia="宋体" w:cs="Times New Roman"/>
                <w:color w:val="000000" w:themeColor="text1"/>
                <w:sz w:val="24"/>
                <w:szCs w:val="24"/>
                <w:lang w:eastAsia="zh-CN"/>
                <w14:textFill>
                  <w14:solidFill>
                    <w14:schemeClr w14:val="tx1"/>
                  </w14:solidFill>
                </w14:textFill>
              </w:rPr>
              <w:t>设独立操作间</w:t>
            </w:r>
            <w:r>
              <w:rPr>
                <w:rFonts w:hint="default" w:ascii="Times New Roman" w:hAnsi="Times New Roman" w:eastAsia="宋体" w:cs="Times New Roman"/>
                <w:color w:val="000000" w:themeColor="text1"/>
                <w:sz w:val="24"/>
                <w:szCs w:val="24"/>
                <w14:textFill>
                  <w14:solidFill>
                    <w14:schemeClr w14:val="tx1"/>
                  </w14:solidFill>
                </w14:textFill>
              </w:rPr>
              <w:t>以及墙体等各种因素衰减的情况下，各噪声源在预测点处的预测值，项目噪声预测结果见下表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66C43EE">
            <w:pPr>
              <w:keepNext/>
              <w:keepLines/>
              <w:pageBreakBefore w:val="0"/>
              <w:widowControl/>
              <w:kinsoku/>
              <w:wordWrap/>
              <w:overflowPunct/>
              <w:topLinePunct w:val="0"/>
              <w:autoSpaceDE/>
              <w:autoSpaceDN/>
              <w:bidi w:val="0"/>
              <w:adjustRightInd/>
              <w:snapToGrid/>
              <w:spacing w:beforeAutospacing="0" w:afterAutospacing="0" w:line="36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项目噪声预测结果一览表 </w:t>
            </w:r>
          </w:p>
          <w:tbl>
            <w:tblPr>
              <w:tblStyle w:val="22"/>
              <w:tblW w:w="82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074"/>
              <w:gridCol w:w="1272"/>
              <w:gridCol w:w="1195"/>
              <w:gridCol w:w="1237"/>
              <w:gridCol w:w="1189"/>
            </w:tblGrid>
            <w:tr w14:paraId="48652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37" w:type="pct"/>
                  <w:gridSpan w:val="2"/>
                  <w:vMerge w:val="restart"/>
                  <w:noWrap w:val="0"/>
                  <w:vAlign w:val="center"/>
                </w:tcPr>
                <w:p w14:paraId="7F7C348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位置</w:t>
                  </w:r>
                </w:p>
              </w:tc>
              <w:tc>
                <w:tcPr>
                  <w:tcW w:w="2962" w:type="pct"/>
                  <w:gridSpan w:val="4"/>
                  <w:noWrap w:val="0"/>
                  <w:vAlign w:val="center"/>
                </w:tcPr>
                <w:p w14:paraId="35F1D17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厂界</w:t>
                  </w:r>
                </w:p>
              </w:tc>
            </w:tr>
            <w:tr w14:paraId="4F311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37" w:type="pct"/>
                  <w:gridSpan w:val="2"/>
                  <w:vMerge w:val="continue"/>
                  <w:noWrap w:val="0"/>
                  <w:vAlign w:val="center"/>
                </w:tcPr>
                <w:p w14:paraId="59CAEAA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770" w:type="pct"/>
                  <w:noWrap w:val="0"/>
                  <w:vAlign w:val="center"/>
                </w:tcPr>
                <w:p w14:paraId="23FA81D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东</w:t>
                  </w:r>
                </w:p>
              </w:tc>
              <w:tc>
                <w:tcPr>
                  <w:tcW w:w="723" w:type="pct"/>
                  <w:noWrap w:val="0"/>
                  <w:vAlign w:val="center"/>
                </w:tcPr>
                <w:p w14:paraId="0266AA4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南</w:t>
                  </w:r>
                </w:p>
              </w:tc>
              <w:tc>
                <w:tcPr>
                  <w:tcW w:w="748" w:type="pct"/>
                  <w:noWrap w:val="0"/>
                  <w:vAlign w:val="center"/>
                </w:tcPr>
                <w:p w14:paraId="6ECA8E1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西</w:t>
                  </w:r>
                </w:p>
              </w:tc>
              <w:tc>
                <w:tcPr>
                  <w:tcW w:w="719" w:type="pct"/>
                  <w:noWrap w:val="0"/>
                  <w:vAlign w:val="center"/>
                </w:tcPr>
                <w:p w14:paraId="4B5D102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北</w:t>
                  </w:r>
                </w:p>
              </w:tc>
            </w:tr>
            <w:tr w14:paraId="1E530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28C68AE9">
                  <w:pPr>
                    <w:widowControl/>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粉碎机</w:t>
                  </w:r>
                </w:p>
              </w:tc>
              <w:tc>
                <w:tcPr>
                  <w:tcW w:w="1255" w:type="pct"/>
                  <w:noWrap w:val="0"/>
                  <w:vAlign w:val="center"/>
                </w:tcPr>
                <w:p w14:paraId="1A79906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42E861F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36</w:t>
                  </w:r>
                </w:p>
              </w:tc>
              <w:tc>
                <w:tcPr>
                  <w:tcW w:w="723" w:type="pct"/>
                  <w:noWrap w:val="0"/>
                  <w:vAlign w:val="center"/>
                </w:tcPr>
                <w:p w14:paraId="4324575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748" w:type="pct"/>
                  <w:noWrap w:val="0"/>
                  <w:vAlign w:val="center"/>
                </w:tcPr>
                <w:p w14:paraId="0A836C4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719" w:type="pct"/>
                  <w:noWrap w:val="0"/>
                  <w:vAlign w:val="center"/>
                </w:tcPr>
                <w:p w14:paraId="64CBC13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w:t>
                  </w:r>
                </w:p>
              </w:tc>
            </w:tr>
            <w:tr w14:paraId="39BC2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2479EC7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31AC677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1651816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29</w:t>
                  </w:r>
                </w:p>
              </w:tc>
              <w:tc>
                <w:tcPr>
                  <w:tcW w:w="723" w:type="pct"/>
                  <w:noWrap w:val="0"/>
                  <w:vAlign w:val="center"/>
                </w:tcPr>
                <w:p w14:paraId="37C327C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46</w:t>
                  </w:r>
                </w:p>
              </w:tc>
              <w:tc>
                <w:tcPr>
                  <w:tcW w:w="748" w:type="pct"/>
                  <w:noWrap w:val="0"/>
                  <w:vAlign w:val="center"/>
                </w:tcPr>
                <w:p w14:paraId="11F4238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48</w:t>
                  </w:r>
                </w:p>
              </w:tc>
              <w:tc>
                <w:tcPr>
                  <w:tcW w:w="719" w:type="pct"/>
                  <w:noWrap w:val="0"/>
                  <w:vAlign w:val="center"/>
                </w:tcPr>
                <w:p w14:paraId="7FBF3DF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32</w:t>
                  </w:r>
                </w:p>
              </w:tc>
            </w:tr>
            <w:tr w14:paraId="4D23E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27DF14E5">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筛分机</w:t>
                  </w:r>
                </w:p>
              </w:tc>
              <w:tc>
                <w:tcPr>
                  <w:tcW w:w="1255" w:type="pct"/>
                  <w:noWrap w:val="0"/>
                  <w:vAlign w:val="center"/>
                </w:tcPr>
                <w:p w14:paraId="442F0AD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1E62F54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27</w:t>
                  </w:r>
                </w:p>
              </w:tc>
              <w:tc>
                <w:tcPr>
                  <w:tcW w:w="723" w:type="pct"/>
                  <w:noWrap w:val="0"/>
                  <w:vAlign w:val="center"/>
                </w:tcPr>
                <w:p w14:paraId="0EFBE57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3</w:t>
                  </w:r>
                </w:p>
              </w:tc>
              <w:tc>
                <w:tcPr>
                  <w:tcW w:w="748" w:type="pct"/>
                  <w:noWrap w:val="0"/>
                  <w:vAlign w:val="center"/>
                </w:tcPr>
                <w:p w14:paraId="5414322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13</w:t>
                  </w:r>
                </w:p>
              </w:tc>
              <w:tc>
                <w:tcPr>
                  <w:tcW w:w="719" w:type="pct"/>
                  <w:noWrap w:val="0"/>
                  <w:vAlign w:val="center"/>
                </w:tcPr>
                <w:p w14:paraId="7CE2D70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26</w:t>
                  </w:r>
                </w:p>
              </w:tc>
            </w:tr>
            <w:tr w14:paraId="5DA18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700F4CF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3A4B51F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05B0F0E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26</w:t>
                  </w:r>
                </w:p>
              </w:tc>
              <w:tc>
                <w:tcPr>
                  <w:tcW w:w="723" w:type="pct"/>
                  <w:noWrap w:val="0"/>
                  <w:vAlign w:val="center"/>
                </w:tcPr>
                <w:p w14:paraId="13569C2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5</w:t>
                  </w:r>
                </w:p>
              </w:tc>
              <w:tc>
                <w:tcPr>
                  <w:tcW w:w="748" w:type="pct"/>
                  <w:noWrap w:val="0"/>
                  <w:vAlign w:val="center"/>
                </w:tcPr>
                <w:p w14:paraId="420CD3B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33</w:t>
                  </w:r>
                </w:p>
              </w:tc>
              <w:tc>
                <w:tcPr>
                  <w:tcW w:w="719" w:type="pct"/>
                  <w:noWrap w:val="0"/>
                  <w:vAlign w:val="center"/>
                </w:tcPr>
                <w:p w14:paraId="53D3E6F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27</w:t>
                  </w:r>
                </w:p>
              </w:tc>
            </w:tr>
            <w:tr w14:paraId="3722E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345A7E1E">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搅拌机</w:t>
                  </w:r>
                </w:p>
              </w:tc>
              <w:tc>
                <w:tcPr>
                  <w:tcW w:w="1255" w:type="pct"/>
                  <w:noWrap w:val="0"/>
                  <w:vAlign w:val="center"/>
                </w:tcPr>
                <w:p w14:paraId="74C6466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433B9BA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17</w:t>
                  </w:r>
                </w:p>
              </w:tc>
              <w:tc>
                <w:tcPr>
                  <w:tcW w:w="723" w:type="pct"/>
                  <w:noWrap w:val="0"/>
                  <w:vAlign w:val="center"/>
                </w:tcPr>
                <w:p w14:paraId="36D8B05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3</w:t>
                  </w:r>
                </w:p>
              </w:tc>
              <w:tc>
                <w:tcPr>
                  <w:tcW w:w="748" w:type="pct"/>
                  <w:noWrap w:val="0"/>
                  <w:vAlign w:val="center"/>
                </w:tcPr>
                <w:p w14:paraId="144AAF7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23</w:t>
                  </w:r>
                </w:p>
              </w:tc>
              <w:tc>
                <w:tcPr>
                  <w:tcW w:w="719" w:type="pct"/>
                  <w:noWrap w:val="0"/>
                  <w:vAlign w:val="center"/>
                </w:tcPr>
                <w:p w14:paraId="493A10A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w:t>
                  </w:r>
                  <w:r>
                    <w:rPr>
                      <w:rFonts w:hint="eastAsia" w:cs="Times New Roman"/>
                      <w:color w:val="000000" w:themeColor="text1"/>
                      <w:kern w:val="2"/>
                      <w:sz w:val="21"/>
                      <w:szCs w:val="24"/>
                      <w:lang w:val="en-US" w:eastAsia="zh-CN" w:bidi="ar-SA"/>
                      <w14:textFill>
                        <w14:solidFill>
                          <w14:schemeClr w14:val="tx1"/>
                        </w14:solidFill>
                      </w14:textFill>
                    </w:rPr>
                    <w:t>6</w:t>
                  </w:r>
                </w:p>
              </w:tc>
            </w:tr>
            <w:tr w14:paraId="17561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6290F9C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7D6272B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5609E81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w:t>
                  </w:r>
                </w:p>
              </w:tc>
              <w:tc>
                <w:tcPr>
                  <w:tcW w:w="723" w:type="pct"/>
                  <w:noWrap w:val="0"/>
                  <w:vAlign w:val="center"/>
                </w:tcPr>
                <w:p w14:paraId="24C443D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50</w:t>
                  </w:r>
                </w:p>
              </w:tc>
              <w:tc>
                <w:tcPr>
                  <w:tcW w:w="748" w:type="pct"/>
                  <w:noWrap w:val="0"/>
                  <w:vAlign w:val="center"/>
                </w:tcPr>
                <w:p w14:paraId="6195D35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33</w:t>
                  </w:r>
                </w:p>
              </w:tc>
              <w:tc>
                <w:tcPr>
                  <w:tcW w:w="719" w:type="pct"/>
                  <w:noWrap w:val="0"/>
                  <w:vAlign w:val="center"/>
                </w:tcPr>
                <w:p w14:paraId="3D992A4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32</w:t>
                  </w:r>
                </w:p>
              </w:tc>
            </w:tr>
            <w:tr w14:paraId="04BE7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39032866">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造粒机1</w:t>
                  </w:r>
                </w:p>
              </w:tc>
              <w:tc>
                <w:tcPr>
                  <w:tcW w:w="1255" w:type="pct"/>
                  <w:noWrap w:val="0"/>
                  <w:vAlign w:val="center"/>
                </w:tcPr>
                <w:p w14:paraId="01E834E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7BF68D7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14</w:t>
                  </w:r>
                </w:p>
              </w:tc>
              <w:tc>
                <w:tcPr>
                  <w:tcW w:w="723" w:type="pct"/>
                  <w:noWrap w:val="0"/>
                  <w:vAlign w:val="center"/>
                </w:tcPr>
                <w:p w14:paraId="7A5C226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w:t>
                  </w:r>
                </w:p>
              </w:tc>
              <w:tc>
                <w:tcPr>
                  <w:tcW w:w="748" w:type="pct"/>
                  <w:noWrap w:val="0"/>
                  <w:vAlign w:val="center"/>
                </w:tcPr>
                <w:p w14:paraId="0E4193B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26</w:t>
                  </w:r>
                </w:p>
              </w:tc>
              <w:tc>
                <w:tcPr>
                  <w:tcW w:w="719" w:type="pct"/>
                  <w:noWrap w:val="0"/>
                  <w:vAlign w:val="center"/>
                </w:tcPr>
                <w:p w14:paraId="24AA6E0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25</w:t>
                  </w:r>
                </w:p>
              </w:tc>
            </w:tr>
            <w:tr w14:paraId="0C7AF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07AC8F5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20F478E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19EF9E9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40</w:t>
                  </w:r>
                </w:p>
              </w:tc>
              <w:tc>
                <w:tcPr>
                  <w:tcW w:w="723" w:type="pct"/>
                  <w:noWrap w:val="0"/>
                  <w:vAlign w:val="center"/>
                </w:tcPr>
                <w:p w14:paraId="77AD973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51</w:t>
                  </w:r>
                </w:p>
              </w:tc>
              <w:tc>
                <w:tcPr>
                  <w:tcW w:w="748" w:type="pct"/>
                  <w:noWrap w:val="0"/>
                  <w:vAlign w:val="center"/>
                </w:tcPr>
                <w:p w14:paraId="149CA54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w:t>
                  </w:r>
                </w:p>
              </w:tc>
              <w:tc>
                <w:tcPr>
                  <w:tcW w:w="719" w:type="pct"/>
                  <w:noWrap w:val="0"/>
                  <w:vAlign w:val="center"/>
                </w:tcPr>
                <w:p w14:paraId="3D59042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w:t>
                  </w:r>
                </w:p>
              </w:tc>
            </w:tr>
            <w:tr w14:paraId="4581D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2AA1A83A">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造粒机2</w:t>
                  </w:r>
                </w:p>
              </w:tc>
              <w:tc>
                <w:tcPr>
                  <w:tcW w:w="1255" w:type="pct"/>
                  <w:noWrap w:val="0"/>
                  <w:vAlign w:val="center"/>
                </w:tcPr>
                <w:p w14:paraId="237B964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7946A01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14</w:t>
                  </w:r>
                </w:p>
              </w:tc>
              <w:tc>
                <w:tcPr>
                  <w:tcW w:w="723" w:type="pct"/>
                  <w:noWrap w:val="0"/>
                  <w:vAlign w:val="center"/>
                </w:tcPr>
                <w:p w14:paraId="519E74E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6</w:t>
                  </w:r>
                </w:p>
              </w:tc>
              <w:tc>
                <w:tcPr>
                  <w:tcW w:w="748" w:type="pct"/>
                  <w:noWrap w:val="0"/>
                  <w:vAlign w:val="center"/>
                </w:tcPr>
                <w:p w14:paraId="2BCEAC6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26</w:t>
                  </w:r>
                </w:p>
              </w:tc>
              <w:tc>
                <w:tcPr>
                  <w:tcW w:w="719" w:type="pct"/>
                  <w:noWrap w:val="0"/>
                  <w:vAlign w:val="center"/>
                </w:tcPr>
                <w:p w14:paraId="454444B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23</w:t>
                  </w:r>
                </w:p>
              </w:tc>
            </w:tr>
            <w:tr w14:paraId="76C06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173C665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4730F7B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1EEB3C7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40</w:t>
                  </w:r>
                </w:p>
              </w:tc>
              <w:tc>
                <w:tcPr>
                  <w:tcW w:w="723" w:type="pct"/>
                  <w:noWrap w:val="0"/>
                  <w:vAlign w:val="center"/>
                </w:tcPr>
                <w:p w14:paraId="31BEDA4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47</w:t>
                  </w:r>
                </w:p>
              </w:tc>
              <w:tc>
                <w:tcPr>
                  <w:tcW w:w="748" w:type="pct"/>
                  <w:noWrap w:val="0"/>
                  <w:vAlign w:val="center"/>
                </w:tcPr>
                <w:p w14:paraId="18FF288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w:t>
                  </w:r>
                </w:p>
              </w:tc>
              <w:tc>
                <w:tcPr>
                  <w:tcW w:w="719" w:type="pct"/>
                  <w:noWrap w:val="0"/>
                  <w:vAlign w:val="center"/>
                </w:tcPr>
                <w:p w14:paraId="1DD9806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36</w:t>
                  </w:r>
                </w:p>
              </w:tc>
            </w:tr>
            <w:tr w14:paraId="51696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6B454BF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烘干机</w:t>
                  </w:r>
                </w:p>
              </w:tc>
              <w:tc>
                <w:tcPr>
                  <w:tcW w:w="2074" w:type="dxa"/>
                  <w:noWrap w:val="0"/>
                  <w:vAlign w:val="center"/>
                </w:tcPr>
                <w:p w14:paraId="498C6EA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1272" w:type="dxa"/>
                  <w:noWrap w:val="0"/>
                  <w:vAlign w:val="center"/>
                </w:tcPr>
                <w:p w14:paraId="7EE8737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14</w:t>
                  </w:r>
                </w:p>
              </w:tc>
              <w:tc>
                <w:tcPr>
                  <w:tcW w:w="1195" w:type="dxa"/>
                  <w:noWrap w:val="0"/>
                  <w:vAlign w:val="center"/>
                </w:tcPr>
                <w:p w14:paraId="57ED592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6</w:t>
                  </w:r>
                </w:p>
              </w:tc>
              <w:tc>
                <w:tcPr>
                  <w:tcW w:w="1237" w:type="dxa"/>
                  <w:noWrap w:val="0"/>
                  <w:vAlign w:val="center"/>
                </w:tcPr>
                <w:p w14:paraId="4812599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26</w:t>
                  </w:r>
                </w:p>
              </w:tc>
              <w:tc>
                <w:tcPr>
                  <w:tcW w:w="1189" w:type="dxa"/>
                  <w:noWrap w:val="0"/>
                  <w:vAlign w:val="center"/>
                </w:tcPr>
                <w:p w14:paraId="04719E7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23</w:t>
                  </w:r>
                </w:p>
              </w:tc>
            </w:tr>
            <w:tr w14:paraId="7B80E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167B44D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2074" w:type="dxa"/>
                  <w:noWrap w:val="0"/>
                  <w:vAlign w:val="center"/>
                </w:tcPr>
                <w:p w14:paraId="00B3E90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1272" w:type="dxa"/>
                  <w:noWrap w:val="0"/>
                  <w:vAlign w:val="center"/>
                </w:tcPr>
                <w:p w14:paraId="039DE0B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40</w:t>
                  </w:r>
                </w:p>
              </w:tc>
              <w:tc>
                <w:tcPr>
                  <w:tcW w:w="1195" w:type="dxa"/>
                  <w:noWrap w:val="0"/>
                  <w:vAlign w:val="center"/>
                </w:tcPr>
                <w:p w14:paraId="5CA204A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47</w:t>
                  </w:r>
                </w:p>
              </w:tc>
              <w:tc>
                <w:tcPr>
                  <w:tcW w:w="1237" w:type="dxa"/>
                  <w:noWrap w:val="0"/>
                  <w:vAlign w:val="center"/>
                </w:tcPr>
                <w:p w14:paraId="3E90B45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w:t>
                  </w:r>
                </w:p>
              </w:tc>
              <w:tc>
                <w:tcPr>
                  <w:tcW w:w="1189" w:type="dxa"/>
                  <w:noWrap w:val="0"/>
                  <w:vAlign w:val="center"/>
                </w:tcPr>
                <w:p w14:paraId="03222B0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36</w:t>
                  </w:r>
                </w:p>
              </w:tc>
            </w:tr>
            <w:tr w14:paraId="4D7BC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01CAC819">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冷却机</w:t>
                  </w:r>
                </w:p>
              </w:tc>
              <w:tc>
                <w:tcPr>
                  <w:tcW w:w="1255" w:type="pct"/>
                  <w:noWrap w:val="0"/>
                  <w:vAlign w:val="center"/>
                </w:tcPr>
                <w:p w14:paraId="24D7AC1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4B97F5A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w:t>
                  </w:r>
                </w:p>
              </w:tc>
              <w:tc>
                <w:tcPr>
                  <w:tcW w:w="723" w:type="pct"/>
                  <w:noWrap w:val="0"/>
                  <w:vAlign w:val="center"/>
                </w:tcPr>
                <w:p w14:paraId="2081763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c>
                <w:tcPr>
                  <w:tcW w:w="748" w:type="pct"/>
                  <w:noWrap w:val="0"/>
                  <w:vAlign w:val="center"/>
                </w:tcPr>
                <w:p w14:paraId="66DE1BF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25</w:t>
                  </w:r>
                </w:p>
              </w:tc>
              <w:tc>
                <w:tcPr>
                  <w:tcW w:w="719" w:type="pct"/>
                  <w:noWrap w:val="0"/>
                  <w:vAlign w:val="center"/>
                </w:tcPr>
                <w:p w14:paraId="250FF48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4</w:t>
                  </w:r>
                </w:p>
              </w:tc>
            </w:tr>
            <w:tr w14:paraId="15D39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30E367E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3E93E6C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3831254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36</w:t>
                  </w:r>
                </w:p>
              </w:tc>
              <w:tc>
                <w:tcPr>
                  <w:tcW w:w="723" w:type="pct"/>
                  <w:noWrap w:val="0"/>
                  <w:vAlign w:val="center"/>
                </w:tcPr>
                <w:p w14:paraId="1760C5D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6</w:t>
                  </w:r>
                </w:p>
              </w:tc>
              <w:tc>
                <w:tcPr>
                  <w:tcW w:w="748" w:type="pct"/>
                  <w:noWrap w:val="0"/>
                  <w:vAlign w:val="center"/>
                </w:tcPr>
                <w:p w14:paraId="5682780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32</w:t>
                  </w:r>
                </w:p>
              </w:tc>
              <w:tc>
                <w:tcPr>
                  <w:tcW w:w="719" w:type="pct"/>
                  <w:noWrap w:val="0"/>
                  <w:vAlign w:val="center"/>
                </w:tcPr>
                <w:p w14:paraId="5048208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p>
              </w:tc>
            </w:tr>
            <w:tr w14:paraId="23607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7DAD6B45">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包装机</w:t>
                  </w:r>
                </w:p>
              </w:tc>
              <w:tc>
                <w:tcPr>
                  <w:tcW w:w="1255" w:type="pct"/>
                  <w:noWrap w:val="0"/>
                  <w:vAlign w:val="center"/>
                </w:tcPr>
                <w:p w14:paraId="659A9DC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21EFF9D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25</w:t>
                  </w:r>
                </w:p>
              </w:tc>
              <w:tc>
                <w:tcPr>
                  <w:tcW w:w="723" w:type="pct"/>
                  <w:noWrap w:val="0"/>
                  <w:vAlign w:val="center"/>
                </w:tcPr>
                <w:p w14:paraId="1F745C0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c>
                <w:tcPr>
                  <w:tcW w:w="748" w:type="pct"/>
                  <w:noWrap w:val="0"/>
                  <w:vAlign w:val="center"/>
                </w:tcPr>
                <w:p w14:paraId="3B18D08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w:t>
                  </w:r>
                </w:p>
              </w:tc>
              <w:tc>
                <w:tcPr>
                  <w:tcW w:w="719" w:type="pct"/>
                  <w:noWrap w:val="0"/>
                  <w:vAlign w:val="center"/>
                </w:tcPr>
                <w:p w14:paraId="3360160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4</w:t>
                  </w:r>
                </w:p>
              </w:tc>
            </w:tr>
            <w:tr w14:paraId="3EC6C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075B048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45A149A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6897806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27</w:t>
                  </w:r>
                </w:p>
              </w:tc>
              <w:tc>
                <w:tcPr>
                  <w:tcW w:w="723" w:type="pct"/>
                  <w:noWrap w:val="0"/>
                  <w:vAlign w:val="center"/>
                </w:tcPr>
                <w:p w14:paraId="427F795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41</w:t>
                  </w:r>
                </w:p>
              </w:tc>
              <w:tc>
                <w:tcPr>
                  <w:tcW w:w="748" w:type="pct"/>
                  <w:noWrap w:val="0"/>
                  <w:vAlign w:val="center"/>
                </w:tcPr>
                <w:p w14:paraId="19F8435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31</w:t>
                  </w:r>
                </w:p>
              </w:tc>
              <w:tc>
                <w:tcPr>
                  <w:tcW w:w="719" w:type="pct"/>
                  <w:noWrap w:val="0"/>
                  <w:vAlign w:val="center"/>
                </w:tcPr>
                <w:p w14:paraId="0C4AF0B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7</w:t>
                  </w:r>
                </w:p>
              </w:tc>
            </w:tr>
            <w:tr w14:paraId="09213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562CEDA9">
                  <w:pPr>
                    <w:autoSpaceDE w:val="0"/>
                    <w:autoSpaceDN w:val="0"/>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除尘风机</w:t>
                  </w:r>
                </w:p>
              </w:tc>
              <w:tc>
                <w:tcPr>
                  <w:tcW w:w="1255" w:type="pct"/>
                  <w:noWrap w:val="0"/>
                  <w:vAlign w:val="center"/>
                </w:tcPr>
                <w:p w14:paraId="151D00E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0C87366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723" w:type="pct"/>
                  <w:noWrap w:val="0"/>
                  <w:vAlign w:val="center"/>
                </w:tcPr>
                <w:p w14:paraId="36E1F4E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748" w:type="pct"/>
                  <w:noWrap w:val="0"/>
                  <w:vAlign w:val="center"/>
                </w:tcPr>
                <w:p w14:paraId="6BAD2B0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34</w:t>
                  </w:r>
                </w:p>
              </w:tc>
              <w:tc>
                <w:tcPr>
                  <w:tcW w:w="719" w:type="pct"/>
                  <w:noWrap w:val="0"/>
                  <w:vAlign w:val="center"/>
                </w:tcPr>
                <w:p w14:paraId="04FD589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18</w:t>
                  </w:r>
                </w:p>
              </w:tc>
            </w:tr>
            <w:tr w14:paraId="70AA4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60F5668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7AAB2D8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2B0CEF1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49</w:t>
                  </w:r>
                </w:p>
              </w:tc>
              <w:tc>
                <w:tcPr>
                  <w:tcW w:w="723" w:type="pct"/>
                  <w:noWrap w:val="0"/>
                  <w:vAlign w:val="center"/>
                </w:tcPr>
                <w:p w14:paraId="0A48D4F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44</w:t>
                  </w:r>
                </w:p>
              </w:tc>
              <w:tc>
                <w:tcPr>
                  <w:tcW w:w="748" w:type="pct"/>
                  <w:noWrap w:val="0"/>
                  <w:vAlign w:val="center"/>
                </w:tcPr>
                <w:p w14:paraId="633F81C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34</w:t>
                  </w:r>
                </w:p>
              </w:tc>
              <w:tc>
                <w:tcPr>
                  <w:tcW w:w="719" w:type="pct"/>
                  <w:noWrap w:val="0"/>
                  <w:vAlign w:val="center"/>
                </w:tcPr>
                <w:p w14:paraId="48D3D35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40</w:t>
                  </w:r>
                </w:p>
              </w:tc>
            </w:tr>
            <w:tr w14:paraId="77AEA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restart"/>
                  <w:noWrap w:val="0"/>
                  <w:vAlign w:val="center"/>
                </w:tcPr>
                <w:p w14:paraId="1618DCFB">
                  <w:pPr>
                    <w:autoSpaceDE w:val="0"/>
                    <w:autoSpaceDN w:val="0"/>
                    <w:adjustRightInd w:val="0"/>
                    <w:snapToGrid w:val="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除臭风机</w:t>
                  </w:r>
                </w:p>
              </w:tc>
              <w:tc>
                <w:tcPr>
                  <w:tcW w:w="1255" w:type="pct"/>
                  <w:noWrap w:val="0"/>
                  <w:vAlign w:val="center"/>
                </w:tcPr>
                <w:p w14:paraId="1050B4F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eastAsia="zh-CN"/>
                      <w14:textFill>
                        <w14:solidFill>
                          <w14:schemeClr w14:val="tx1"/>
                        </w14:solidFill>
                      </w14:textFill>
                    </w:rPr>
                    <w:t>距离</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m）</w:t>
                  </w:r>
                </w:p>
              </w:tc>
              <w:tc>
                <w:tcPr>
                  <w:tcW w:w="770" w:type="pct"/>
                  <w:noWrap w:val="0"/>
                  <w:vAlign w:val="center"/>
                </w:tcPr>
                <w:p w14:paraId="77B67F0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723" w:type="pct"/>
                  <w:noWrap w:val="0"/>
                  <w:vAlign w:val="center"/>
                </w:tcPr>
                <w:p w14:paraId="3981D93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748" w:type="pct"/>
                  <w:noWrap w:val="0"/>
                  <w:vAlign w:val="center"/>
                </w:tcPr>
                <w:p w14:paraId="7DD8297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49</w:t>
                  </w:r>
                </w:p>
              </w:tc>
              <w:tc>
                <w:tcPr>
                  <w:tcW w:w="719" w:type="pct"/>
                  <w:noWrap w:val="0"/>
                  <w:vAlign w:val="center"/>
                </w:tcPr>
                <w:p w14:paraId="5F0F7D3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25</w:t>
                  </w:r>
                </w:p>
              </w:tc>
            </w:tr>
            <w:tr w14:paraId="6F3D4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82" w:type="pct"/>
                  <w:vMerge w:val="continue"/>
                  <w:noWrap w:val="0"/>
                  <w:vAlign w:val="center"/>
                </w:tcPr>
                <w:p w14:paraId="3FAAAD1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55" w:type="pct"/>
                  <w:noWrap w:val="0"/>
                  <w:vAlign w:val="center"/>
                </w:tcPr>
                <w:p w14:paraId="4C8AA92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贡献值</w:t>
                  </w:r>
                  <w:r>
                    <w:rPr>
                      <w:rFonts w:hint="default" w:ascii="Times New Roman" w:hAnsi="Times New Roman" w:eastAsia="宋体" w:cs="Times New Roman"/>
                      <w:b w:val="0"/>
                      <w:bCs w:val="0"/>
                      <w:color w:val="000000" w:themeColor="text1"/>
                      <w:sz w:val="21"/>
                      <w:szCs w:val="21"/>
                      <w14:textFill>
                        <w14:solidFill>
                          <w14:schemeClr w14:val="tx1"/>
                        </w14:solidFill>
                      </w14:textFill>
                    </w:rPr>
                    <w:t>dB（A）</w:t>
                  </w:r>
                </w:p>
              </w:tc>
              <w:tc>
                <w:tcPr>
                  <w:tcW w:w="770" w:type="pct"/>
                  <w:noWrap w:val="0"/>
                  <w:vAlign w:val="center"/>
                </w:tcPr>
                <w:p w14:paraId="480F8EE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42</w:t>
                  </w:r>
                </w:p>
              </w:tc>
              <w:tc>
                <w:tcPr>
                  <w:tcW w:w="723" w:type="pct"/>
                  <w:noWrap w:val="0"/>
                  <w:vAlign w:val="center"/>
                </w:tcPr>
                <w:p w14:paraId="482D5F0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42</w:t>
                  </w:r>
                </w:p>
              </w:tc>
              <w:tc>
                <w:tcPr>
                  <w:tcW w:w="748" w:type="pct"/>
                  <w:noWrap w:val="0"/>
                  <w:vAlign w:val="center"/>
                </w:tcPr>
                <w:p w14:paraId="645D272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26</w:t>
                  </w:r>
                </w:p>
              </w:tc>
              <w:tc>
                <w:tcPr>
                  <w:tcW w:w="719" w:type="pct"/>
                  <w:noWrap w:val="0"/>
                  <w:vAlign w:val="center"/>
                </w:tcPr>
                <w:p w14:paraId="6C49146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32</w:t>
                  </w:r>
                </w:p>
              </w:tc>
            </w:tr>
            <w:tr w14:paraId="2C116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37" w:type="pct"/>
                  <w:gridSpan w:val="2"/>
                  <w:noWrap w:val="0"/>
                  <w:vAlign w:val="center"/>
                </w:tcPr>
                <w:p w14:paraId="5FB7475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总贡献值（昼间）</w:t>
                  </w:r>
                  <w:r>
                    <w:rPr>
                      <w:rFonts w:hint="default" w:ascii="Times New Roman" w:hAnsi="Times New Roman" w:eastAsia="宋体" w:cs="Times New Roman"/>
                      <w:color w:val="000000" w:themeColor="text1"/>
                      <w:lang w:val="en-US" w:eastAsia="zh-CN"/>
                      <w14:textFill>
                        <w14:solidFill>
                          <w14:schemeClr w14:val="tx1"/>
                        </w14:solidFill>
                      </w14:textFill>
                    </w:rPr>
                    <w:t>dB（A）</w:t>
                  </w:r>
                  <w:r>
                    <w:rPr>
                      <w:rFonts w:hint="eastAsia" w:cs="Times New Roman"/>
                      <w:color w:val="000000" w:themeColor="text1"/>
                      <w:lang w:val="en-US" w:eastAsia="zh-CN"/>
                      <w14:textFill>
                        <w14:solidFill>
                          <w14:schemeClr w14:val="tx1"/>
                        </w14:solidFill>
                      </w14:textFill>
                    </w:rPr>
                    <w:t>/敏感点预测值</w:t>
                  </w:r>
                  <w:r>
                    <w:rPr>
                      <w:rFonts w:hint="default" w:ascii="Times New Roman" w:hAnsi="Times New Roman" w:cs="Times New Roman"/>
                      <w:color w:val="000000" w:themeColor="text1"/>
                      <w:lang w:val="en-US" w:eastAsia="zh-CN"/>
                      <w14:textFill>
                        <w14:solidFill>
                          <w14:schemeClr w14:val="tx1"/>
                        </w14:solidFill>
                      </w14:textFill>
                    </w:rPr>
                    <w:t>（昼间）</w:t>
                  </w:r>
                  <w:r>
                    <w:rPr>
                      <w:rFonts w:hint="default" w:ascii="Times New Roman" w:hAnsi="Times New Roman" w:eastAsia="宋体" w:cs="Times New Roman"/>
                      <w:color w:val="000000" w:themeColor="text1"/>
                      <w:lang w:val="en-US" w:eastAsia="zh-CN"/>
                      <w14:textFill>
                        <w14:solidFill>
                          <w14:schemeClr w14:val="tx1"/>
                        </w14:solidFill>
                      </w14:textFill>
                    </w:rPr>
                    <w:t>dB（A）</w:t>
                  </w:r>
                </w:p>
              </w:tc>
              <w:tc>
                <w:tcPr>
                  <w:tcW w:w="770" w:type="pct"/>
                  <w:noWrap w:val="0"/>
                  <w:vAlign w:val="center"/>
                </w:tcPr>
                <w:p w14:paraId="12443DE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51</w:t>
                  </w:r>
                </w:p>
              </w:tc>
              <w:tc>
                <w:tcPr>
                  <w:tcW w:w="723" w:type="pct"/>
                  <w:noWrap w:val="0"/>
                  <w:vAlign w:val="center"/>
                </w:tcPr>
                <w:p w14:paraId="4FFF1D9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56</w:t>
                  </w:r>
                </w:p>
              </w:tc>
              <w:tc>
                <w:tcPr>
                  <w:tcW w:w="748" w:type="pct"/>
                  <w:noWrap w:val="0"/>
                  <w:vAlign w:val="center"/>
                </w:tcPr>
                <w:p w14:paraId="1F11F8E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49</w:t>
                  </w:r>
                </w:p>
              </w:tc>
              <w:tc>
                <w:tcPr>
                  <w:tcW w:w="719" w:type="pct"/>
                  <w:noWrap w:val="0"/>
                  <w:vAlign w:val="center"/>
                </w:tcPr>
                <w:p w14:paraId="08AA326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44</w:t>
                  </w:r>
                </w:p>
              </w:tc>
            </w:tr>
            <w:tr w14:paraId="3262A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37" w:type="pct"/>
                  <w:gridSpan w:val="2"/>
                  <w:noWrap w:val="0"/>
                  <w:vAlign w:val="center"/>
                </w:tcPr>
                <w:p w14:paraId="0DA7AFD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标准值dB（A）</w:t>
                  </w:r>
                </w:p>
              </w:tc>
              <w:tc>
                <w:tcPr>
                  <w:tcW w:w="770" w:type="pct"/>
                  <w:noWrap w:val="0"/>
                  <w:vAlign w:val="center"/>
                </w:tcPr>
                <w:p w14:paraId="606E78D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60</w:t>
                  </w:r>
                </w:p>
              </w:tc>
              <w:tc>
                <w:tcPr>
                  <w:tcW w:w="723" w:type="pct"/>
                  <w:noWrap w:val="0"/>
                  <w:vAlign w:val="center"/>
                </w:tcPr>
                <w:p w14:paraId="0244426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60</w:t>
                  </w:r>
                </w:p>
              </w:tc>
              <w:tc>
                <w:tcPr>
                  <w:tcW w:w="748" w:type="pct"/>
                  <w:noWrap w:val="0"/>
                  <w:vAlign w:val="center"/>
                </w:tcPr>
                <w:p w14:paraId="3182139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719" w:type="pct"/>
                  <w:noWrap w:val="0"/>
                  <w:vAlign w:val="center"/>
                </w:tcPr>
                <w:p w14:paraId="28CC145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60</w:t>
                  </w:r>
                </w:p>
              </w:tc>
            </w:tr>
            <w:tr w14:paraId="2DDE3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37" w:type="pct"/>
                  <w:gridSpan w:val="2"/>
                  <w:noWrap w:val="0"/>
                  <w:vAlign w:val="center"/>
                </w:tcPr>
                <w:p w14:paraId="027D1EA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达标情况</w:t>
                  </w:r>
                </w:p>
              </w:tc>
              <w:tc>
                <w:tcPr>
                  <w:tcW w:w="770" w:type="pct"/>
                  <w:noWrap w:val="0"/>
                  <w:vAlign w:val="center"/>
                </w:tcPr>
                <w:p w14:paraId="0F60492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c>
                <w:tcPr>
                  <w:tcW w:w="723" w:type="pct"/>
                  <w:noWrap w:val="0"/>
                  <w:vAlign w:val="center"/>
                </w:tcPr>
                <w:p w14:paraId="6EE3F83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c>
                <w:tcPr>
                  <w:tcW w:w="748" w:type="pct"/>
                  <w:noWrap w:val="0"/>
                  <w:vAlign w:val="center"/>
                </w:tcPr>
                <w:p w14:paraId="011F3B1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c>
                <w:tcPr>
                  <w:tcW w:w="719" w:type="pct"/>
                  <w:noWrap w:val="0"/>
                  <w:vAlign w:val="center"/>
                </w:tcPr>
                <w:p w14:paraId="33DA2FD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r>
            <w:tr w14:paraId="5842C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37" w:type="pct"/>
                  <w:gridSpan w:val="2"/>
                  <w:noWrap w:val="0"/>
                  <w:vAlign w:val="center"/>
                </w:tcPr>
                <w:p w14:paraId="1F6078D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总贡献值（夜间）</w:t>
                  </w:r>
                  <w:r>
                    <w:rPr>
                      <w:rFonts w:hint="default" w:ascii="Times New Roman" w:hAnsi="Times New Roman" w:eastAsia="宋体" w:cs="Times New Roman"/>
                      <w:color w:val="000000" w:themeColor="text1"/>
                      <w:lang w:val="en-US" w:eastAsia="zh-CN"/>
                      <w14:textFill>
                        <w14:solidFill>
                          <w14:schemeClr w14:val="tx1"/>
                        </w14:solidFill>
                      </w14:textFill>
                    </w:rPr>
                    <w:t>dB（A）</w:t>
                  </w:r>
                  <w:r>
                    <w:rPr>
                      <w:rFonts w:hint="eastAsia" w:cs="Times New Roman"/>
                      <w:color w:val="000000" w:themeColor="text1"/>
                      <w:lang w:val="en-US" w:eastAsia="zh-CN"/>
                      <w14:textFill>
                        <w14:solidFill>
                          <w14:schemeClr w14:val="tx1"/>
                        </w14:solidFill>
                      </w14:textFill>
                    </w:rPr>
                    <w:t>/敏感点预测值</w:t>
                  </w:r>
                  <w:r>
                    <w:rPr>
                      <w:rFonts w:hint="default" w:ascii="Times New Roman" w:hAnsi="Times New Roman" w:cs="Times New Roman"/>
                      <w:color w:val="000000" w:themeColor="text1"/>
                      <w:lang w:val="en-US" w:eastAsia="zh-CN"/>
                      <w14:textFill>
                        <w14:solidFill>
                          <w14:schemeClr w14:val="tx1"/>
                        </w14:solidFill>
                      </w14:textFill>
                    </w:rPr>
                    <w:t>（夜间）</w:t>
                  </w:r>
                  <w:r>
                    <w:rPr>
                      <w:rFonts w:hint="default" w:ascii="Times New Roman" w:hAnsi="Times New Roman" w:eastAsia="宋体" w:cs="Times New Roman"/>
                      <w:color w:val="000000" w:themeColor="text1"/>
                      <w:lang w:val="en-US" w:eastAsia="zh-CN"/>
                      <w14:textFill>
                        <w14:solidFill>
                          <w14:schemeClr w14:val="tx1"/>
                        </w14:solidFill>
                      </w14:textFill>
                    </w:rPr>
                    <w:t>dB（A）</w:t>
                  </w:r>
                </w:p>
              </w:tc>
              <w:tc>
                <w:tcPr>
                  <w:tcW w:w="770" w:type="pct"/>
                  <w:noWrap w:val="0"/>
                  <w:vAlign w:val="center"/>
                </w:tcPr>
                <w:p w14:paraId="68B18AD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42</w:t>
                  </w:r>
                </w:p>
              </w:tc>
              <w:tc>
                <w:tcPr>
                  <w:tcW w:w="723" w:type="pct"/>
                  <w:noWrap w:val="0"/>
                  <w:vAlign w:val="center"/>
                </w:tcPr>
                <w:p w14:paraId="53212A1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42</w:t>
                  </w:r>
                </w:p>
              </w:tc>
              <w:tc>
                <w:tcPr>
                  <w:tcW w:w="748" w:type="pct"/>
                  <w:noWrap w:val="0"/>
                  <w:vAlign w:val="center"/>
                </w:tcPr>
                <w:p w14:paraId="1EE51B4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26</w:t>
                  </w:r>
                </w:p>
              </w:tc>
              <w:tc>
                <w:tcPr>
                  <w:tcW w:w="719" w:type="pct"/>
                  <w:noWrap w:val="0"/>
                  <w:vAlign w:val="center"/>
                </w:tcPr>
                <w:p w14:paraId="5928C76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32</w:t>
                  </w:r>
                </w:p>
              </w:tc>
            </w:tr>
            <w:tr w14:paraId="29ADA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37" w:type="pct"/>
                  <w:gridSpan w:val="2"/>
                  <w:noWrap w:val="0"/>
                  <w:vAlign w:val="center"/>
                </w:tcPr>
                <w:p w14:paraId="7B0DFD0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标准值dB（A）</w:t>
                  </w:r>
                </w:p>
              </w:tc>
              <w:tc>
                <w:tcPr>
                  <w:tcW w:w="770" w:type="pct"/>
                  <w:noWrap w:val="0"/>
                  <w:vAlign w:val="center"/>
                </w:tcPr>
                <w:p w14:paraId="0BC4972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50</w:t>
                  </w:r>
                </w:p>
              </w:tc>
              <w:tc>
                <w:tcPr>
                  <w:tcW w:w="723" w:type="pct"/>
                  <w:noWrap w:val="0"/>
                  <w:vAlign w:val="center"/>
                </w:tcPr>
                <w:p w14:paraId="7752043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50</w:t>
                  </w:r>
                </w:p>
              </w:tc>
              <w:tc>
                <w:tcPr>
                  <w:tcW w:w="748" w:type="pct"/>
                  <w:noWrap w:val="0"/>
                  <w:vAlign w:val="center"/>
                </w:tcPr>
                <w:p w14:paraId="321FD60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50</w:t>
                  </w:r>
                </w:p>
              </w:tc>
              <w:tc>
                <w:tcPr>
                  <w:tcW w:w="719" w:type="pct"/>
                  <w:noWrap w:val="0"/>
                  <w:vAlign w:val="center"/>
                </w:tcPr>
                <w:p w14:paraId="25EA924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50</w:t>
                  </w:r>
                </w:p>
              </w:tc>
            </w:tr>
            <w:tr w14:paraId="5C733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037" w:type="pct"/>
                  <w:gridSpan w:val="2"/>
                  <w:noWrap w:val="0"/>
                  <w:vAlign w:val="center"/>
                </w:tcPr>
                <w:p w14:paraId="109B6FD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达标情况</w:t>
                  </w:r>
                </w:p>
              </w:tc>
              <w:tc>
                <w:tcPr>
                  <w:tcW w:w="770" w:type="pct"/>
                  <w:noWrap w:val="0"/>
                  <w:vAlign w:val="center"/>
                </w:tcPr>
                <w:p w14:paraId="3DED205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c>
                <w:tcPr>
                  <w:tcW w:w="723" w:type="pct"/>
                  <w:noWrap w:val="0"/>
                  <w:vAlign w:val="center"/>
                </w:tcPr>
                <w:p w14:paraId="381DADA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c>
                <w:tcPr>
                  <w:tcW w:w="748" w:type="pct"/>
                  <w:noWrap w:val="0"/>
                  <w:vAlign w:val="center"/>
                </w:tcPr>
                <w:p w14:paraId="101B41F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c>
                <w:tcPr>
                  <w:tcW w:w="719" w:type="pct"/>
                  <w:noWrap w:val="0"/>
                  <w:vAlign w:val="center"/>
                </w:tcPr>
                <w:p w14:paraId="3121468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r>
          </w:tbl>
          <w:p w14:paraId="54507942">
            <w:pPr>
              <w:adjustRightInd w:val="0"/>
              <w:spacing w:line="360" w:lineRule="auto"/>
              <w:ind w:firstLine="480" w:firstLineChars="200"/>
              <w:jc w:val="left"/>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本项目生产车间夜间不生产，</w:t>
            </w:r>
            <w:r>
              <w:rPr>
                <w:rFonts w:hint="default" w:ascii="Times New Roman" w:hAnsi="Times New Roman" w:eastAsia="宋体" w:cs="Times New Roman"/>
                <w:color w:val="000000" w:themeColor="text1"/>
                <w:kern w:val="0"/>
                <w:sz w:val="24"/>
                <w:szCs w:val="24"/>
                <w14:textFill>
                  <w14:solidFill>
                    <w14:schemeClr w14:val="tx1"/>
                  </w14:solidFill>
                </w14:textFill>
              </w:rPr>
              <w:t>由预测结果可知，项目东、南</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西、</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北</w:t>
            </w:r>
            <w:r>
              <w:rPr>
                <w:rFonts w:hint="default" w:ascii="Times New Roman" w:hAnsi="Times New Roman" w:eastAsia="宋体" w:cs="Times New Roman"/>
                <w:color w:val="000000" w:themeColor="text1"/>
                <w:kern w:val="0"/>
                <w:sz w:val="24"/>
                <w:szCs w:val="24"/>
                <w14:textFill>
                  <w14:solidFill>
                    <w14:schemeClr w14:val="tx1"/>
                  </w14:solidFill>
                </w14:textFill>
              </w:rPr>
              <w:t>侧厂界噪声可以满足《工业企业厂界环境噪声排放标准》（GB12348-2008）2类标准要求</w:t>
            </w:r>
            <w:r>
              <w:rPr>
                <w:rFonts w:hint="default" w:ascii="Times New Roman" w:hAnsi="Times New Roman" w:eastAsia="宋体" w:cs="Times New Roman"/>
                <w:bCs/>
                <w:color w:val="000000" w:themeColor="text1"/>
                <w:kern w:val="0"/>
                <w:sz w:val="24"/>
                <w:szCs w:val="24"/>
                <w14:textFill>
                  <w14:solidFill>
                    <w14:schemeClr w14:val="tx1"/>
                  </w14:solidFill>
                </w14:textFill>
              </w:rPr>
              <w:t>。</w:t>
            </w:r>
          </w:p>
          <w:p w14:paraId="577A3FBB">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3、监测计划</w:t>
            </w:r>
          </w:p>
          <w:p w14:paraId="2D463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1</w:t>
            </w:r>
            <w:r>
              <w:rPr>
                <w:rFonts w:hint="eastAsia" w:cs="Times New Roman"/>
                <w:b/>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21"/>
                <w14:textFill>
                  <w14:solidFill>
                    <w14:schemeClr w14:val="tx1"/>
                  </w14:solidFill>
                </w14:textFill>
              </w:rPr>
              <w:t xml:space="preserve">  运营期噪声监测内容及计划</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05"/>
              <w:gridCol w:w="1006"/>
              <w:gridCol w:w="1164"/>
              <w:gridCol w:w="1457"/>
              <w:gridCol w:w="3925"/>
            </w:tblGrid>
            <w:tr w14:paraId="6FBAFB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7" w:type="pct"/>
                  <w:noWrap w:val="0"/>
                  <w:vAlign w:val="center"/>
                </w:tcPr>
                <w:p w14:paraId="722EC464">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609" w:type="pct"/>
                  <w:noWrap w:val="0"/>
                  <w:vAlign w:val="center"/>
                </w:tcPr>
                <w:p w14:paraId="61752655">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监测因子</w:t>
                  </w:r>
                </w:p>
              </w:tc>
              <w:tc>
                <w:tcPr>
                  <w:tcW w:w="705" w:type="pct"/>
                  <w:noWrap w:val="0"/>
                  <w:vAlign w:val="center"/>
                </w:tcPr>
                <w:p w14:paraId="3DD71D84">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882" w:type="pct"/>
                  <w:noWrap w:val="0"/>
                  <w:vAlign w:val="center"/>
                </w:tcPr>
                <w:p w14:paraId="24B8CC14">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监测点位</w:t>
                  </w:r>
                </w:p>
              </w:tc>
              <w:tc>
                <w:tcPr>
                  <w:tcW w:w="2377" w:type="pct"/>
                  <w:noWrap w:val="0"/>
                  <w:vAlign w:val="center"/>
                </w:tcPr>
                <w:p w14:paraId="3F5A75C7">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监测方法</w:t>
                  </w:r>
                </w:p>
              </w:tc>
            </w:tr>
            <w:tr w14:paraId="3C6FD1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7" w:type="pct"/>
                  <w:noWrap w:val="0"/>
                  <w:vAlign w:val="center"/>
                </w:tcPr>
                <w:p w14:paraId="22813F9B">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609" w:type="pct"/>
                  <w:noWrap w:val="0"/>
                  <w:vAlign w:val="center"/>
                </w:tcPr>
                <w:p w14:paraId="35724170">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等效声级Leq（A）</w:t>
                  </w:r>
                </w:p>
              </w:tc>
              <w:tc>
                <w:tcPr>
                  <w:tcW w:w="705" w:type="pct"/>
                  <w:noWrap w:val="0"/>
                  <w:vAlign w:val="center"/>
                </w:tcPr>
                <w:p w14:paraId="10F9F2BB">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每季度1次</w:t>
                  </w:r>
                </w:p>
              </w:tc>
              <w:tc>
                <w:tcPr>
                  <w:tcW w:w="882" w:type="pct"/>
                  <w:noWrap w:val="0"/>
                  <w:vAlign w:val="center"/>
                </w:tcPr>
                <w:p w14:paraId="0C5B95C9">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各侧厂界外1米</w:t>
                  </w:r>
                </w:p>
              </w:tc>
              <w:tc>
                <w:tcPr>
                  <w:tcW w:w="2377" w:type="pct"/>
                  <w:noWrap w:val="0"/>
                  <w:vAlign w:val="center"/>
                </w:tcPr>
                <w:p w14:paraId="14797C29">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厂界东、南、</w:t>
                  </w:r>
                  <w:r>
                    <w:rPr>
                      <w:rFonts w:hint="default" w:ascii="Times New Roman" w:hAnsi="Times New Roman" w:cs="Times New Roman"/>
                      <w:color w:val="000000" w:themeColor="text1"/>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14:textFill>
                        <w14:solidFill>
                          <w14:schemeClr w14:val="tx1"/>
                        </w14:solidFill>
                      </w14:textFill>
                    </w:rPr>
                    <w:t>北侧执行《工业企业厂界环境噪声排放标准》（GB12348-2008）2类标准要求</w:t>
                  </w:r>
                </w:p>
              </w:tc>
            </w:tr>
          </w:tbl>
          <w:p w14:paraId="7414D4E2">
            <w:pPr>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四</w:t>
            </w:r>
            <w:r>
              <w:rPr>
                <w:rFonts w:hint="default" w:ascii="Times New Roman" w:hAnsi="Times New Roman" w:eastAsia="宋体" w:cs="Times New Roman"/>
                <w:b/>
                <w:bCs w:val="0"/>
                <w:color w:val="000000" w:themeColor="text1"/>
                <w:sz w:val="24"/>
                <w:szCs w:val="24"/>
                <w14:textFill>
                  <w14:solidFill>
                    <w14:schemeClr w14:val="tx1"/>
                  </w14:solidFill>
                </w14:textFill>
              </w:rPr>
              <w:t>、运营期固体废物环境影响和保护措施</w:t>
            </w:r>
          </w:p>
          <w:p w14:paraId="3D2A5072">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1、固体废物产生及处置情况</w:t>
            </w:r>
          </w:p>
          <w:p w14:paraId="3289EF4F">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本项目固体废物主要为生活垃圾</w:t>
            </w:r>
            <w:r>
              <w:rPr>
                <w:rFonts w:hint="eastAsia" w:cs="Times New Roman"/>
                <w:color w:val="000000" w:themeColor="text1"/>
                <w:sz w:val="24"/>
                <w:szCs w:val="24"/>
                <w:lang w:val="en-US" w:eastAsia="zh-CN"/>
                <w14:textFill>
                  <w14:solidFill>
                    <w14:schemeClr w14:val="tx1"/>
                  </w14:solidFill>
                </w14:textFill>
              </w:rPr>
              <w:t>及</w:t>
            </w:r>
            <w:r>
              <w:rPr>
                <w:rFonts w:hint="default" w:ascii="Times New Roman" w:hAnsi="Times New Roman" w:cs="Times New Roman"/>
                <w:color w:val="000000" w:themeColor="text1"/>
                <w:sz w:val="24"/>
                <w:szCs w:val="24"/>
                <w:lang w:val="en-US" w:eastAsia="zh-CN"/>
                <w14:textFill>
                  <w14:solidFill>
                    <w14:schemeClr w14:val="tx1"/>
                  </w14:solidFill>
                </w14:textFill>
              </w:rPr>
              <w:t>一般工业固废（收尘灰、落地灰、废包装袋）</w:t>
            </w:r>
            <w:r>
              <w:rPr>
                <w:rFonts w:hint="default" w:ascii="Times New Roman" w:hAnsi="Times New Roman" w:eastAsia="宋体" w:cs="Times New Roman"/>
                <w:color w:val="000000" w:themeColor="text1"/>
                <w:sz w:val="24"/>
                <w:szCs w:val="24"/>
                <w14:textFill>
                  <w14:solidFill>
                    <w14:schemeClr w14:val="tx1"/>
                  </w14:solidFill>
                </w14:textFill>
              </w:rPr>
              <w:t>。</w:t>
            </w:r>
          </w:p>
          <w:p w14:paraId="5CC0D740">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（1）生活垃圾</w:t>
            </w:r>
          </w:p>
          <w:p w14:paraId="3AC0BEB6">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活垃圾主要包括厂区职工办公生活产生的垃圾，根据《第一次全国污染源普查城镇生活源产排污系数手册》第一分册城镇居民生活源污染物产生排放系数手册可知，宝鸡市属于五区三类城市，项目生活垃圾产生量按0.44</w:t>
            </w:r>
            <w:r>
              <w:rPr>
                <w:rFonts w:hint="eastAsia" w:cs="Times New Roman"/>
                <w:color w:val="000000" w:themeColor="text1"/>
                <w:sz w:val="24"/>
                <w:szCs w:val="24"/>
                <w:lang w:eastAsia="zh-CN"/>
                <w14:textFill>
                  <w14:solidFill>
                    <w14:schemeClr w14:val="tx1"/>
                  </w14:solidFill>
                </w14:textFill>
              </w:rPr>
              <w:t>kg</w:t>
            </w:r>
            <w:r>
              <w:rPr>
                <w:rFonts w:hint="default" w:ascii="Times New Roman" w:hAnsi="Times New Roman" w:eastAsia="宋体" w:cs="Times New Roman"/>
                <w:color w:val="000000" w:themeColor="text1"/>
                <w:sz w:val="24"/>
                <w:szCs w:val="24"/>
                <w14:textFill>
                  <w14:solidFill>
                    <w14:schemeClr w14:val="tx1"/>
                  </w14:solidFill>
                </w14:textFill>
              </w:rPr>
              <w:t>/人·d计，</w:t>
            </w:r>
            <w:r>
              <w:rPr>
                <w:rFonts w:hint="default" w:ascii="Times New Roman" w:hAnsi="Times New Roman" w:eastAsia="宋体" w:cs="Times New Roman"/>
                <w:bCs/>
                <w:color w:val="000000" w:themeColor="text1"/>
                <w:spacing w:val="12"/>
                <w:sz w:val="24"/>
                <w:szCs w:val="24"/>
                <w14:textFill>
                  <w14:solidFill>
                    <w14:schemeClr w14:val="tx1"/>
                  </w14:solidFill>
                </w14:textFill>
              </w:rPr>
              <w:t>项目运营期劳动定员</w:t>
            </w:r>
            <w:r>
              <w:rPr>
                <w:rFonts w:hint="default" w:ascii="Times New Roman" w:hAnsi="Times New Roman" w:cs="Times New Roman"/>
                <w:bCs/>
                <w:color w:val="000000" w:themeColor="text1"/>
                <w:spacing w:val="12"/>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pacing w:val="12"/>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pacing w:val="12"/>
                <w:sz w:val="24"/>
                <w:szCs w:val="24"/>
                <w14:textFill>
                  <w14:solidFill>
                    <w14:schemeClr w14:val="tx1"/>
                  </w14:solidFill>
                </w14:textFill>
              </w:rPr>
              <w:t>人，年工作日为</w:t>
            </w:r>
            <w:r>
              <w:rPr>
                <w:rFonts w:hint="default" w:ascii="Times New Roman" w:hAnsi="Times New Roman" w:cs="Times New Roman"/>
                <w:bCs/>
                <w:color w:val="000000" w:themeColor="text1"/>
                <w:spacing w:val="12"/>
                <w:sz w:val="24"/>
                <w:szCs w:val="24"/>
                <w:lang w:val="en-US" w:eastAsia="zh-CN"/>
                <w14:textFill>
                  <w14:solidFill>
                    <w14:schemeClr w14:val="tx1"/>
                  </w14:solidFill>
                </w14:textFill>
              </w:rPr>
              <w:t>300</w:t>
            </w:r>
            <w:r>
              <w:rPr>
                <w:rFonts w:hint="default" w:ascii="Times New Roman" w:hAnsi="Times New Roman" w:eastAsia="宋体" w:cs="Times New Roman"/>
                <w:bCs/>
                <w:color w:val="000000" w:themeColor="text1"/>
                <w:spacing w:val="12"/>
                <w:sz w:val="24"/>
                <w:szCs w:val="24"/>
                <w14:textFill>
                  <w14:solidFill>
                    <w14:schemeClr w14:val="tx1"/>
                  </w14:solidFill>
                </w14:textFill>
              </w:rPr>
              <w:t>天，</w:t>
            </w:r>
            <w:r>
              <w:rPr>
                <w:rFonts w:hint="default" w:ascii="Times New Roman" w:hAnsi="Times New Roman" w:eastAsia="宋体" w:cs="Times New Roman"/>
                <w:color w:val="000000" w:themeColor="text1"/>
                <w:sz w:val="24"/>
                <w:szCs w:val="24"/>
                <w14:textFill>
                  <w14:solidFill>
                    <w14:schemeClr w14:val="tx1"/>
                  </w14:solidFill>
                </w14:textFill>
              </w:rPr>
              <w:t>则生活垃圾产生量为</w:t>
            </w:r>
            <w:r>
              <w:rPr>
                <w:rFonts w:hint="default" w:ascii="Times New Roman" w:hAnsi="Times New Roman" w:cs="Times New Roman"/>
                <w:color w:val="000000" w:themeColor="text1"/>
                <w:sz w:val="24"/>
                <w:szCs w:val="24"/>
                <w:lang w:val="en-US" w:eastAsia="zh-CN"/>
                <w14:textFill>
                  <w14:solidFill>
                    <w14:schemeClr w14:val="tx1"/>
                  </w14:solidFill>
                </w14:textFill>
              </w:rPr>
              <w:t>4.4</w:t>
            </w:r>
            <w:r>
              <w:rPr>
                <w:rFonts w:hint="eastAsia" w:cs="Times New Roman"/>
                <w:color w:val="000000" w:themeColor="text1"/>
                <w:sz w:val="24"/>
                <w:szCs w:val="24"/>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1.32</w:t>
            </w:r>
            <w:r>
              <w:rPr>
                <w:rFonts w:hint="default" w:ascii="Times New Roman" w:hAnsi="Times New Roman" w:eastAsia="宋体" w:cs="Times New Roman"/>
                <w:color w:val="000000" w:themeColor="text1"/>
                <w:sz w:val="24"/>
                <w:szCs w:val="24"/>
                <w14:textFill>
                  <w14:solidFill>
                    <w14:schemeClr w14:val="tx1"/>
                  </w14:solidFill>
                </w14:textFill>
              </w:rPr>
              <w:t>t/a。生活垃圾集中收集定点堆放，由环卫部门定期清运。</w:t>
            </w:r>
          </w:p>
          <w:p w14:paraId="07E1118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420" w:leftChars="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（2）一般工业固废</w:t>
            </w:r>
          </w:p>
          <w:p w14:paraId="5EDBE14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①除尘灰：根据分析，本项目颗粒物除尘过程产生的除尘灰总量为</w:t>
            </w:r>
            <w:r>
              <w:rPr>
                <w:rFonts w:hint="eastAsia" w:cs="Times New Roman"/>
                <w:b w:val="0"/>
                <w:bCs w:val="0"/>
                <w:color w:val="000000" w:themeColor="text1"/>
                <w:sz w:val="24"/>
                <w:szCs w:val="24"/>
                <w:lang w:val="en-US" w:eastAsia="zh-CN"/>
                <w14:textFill>
                  <w14:solidFill>
                    <w14:schemeClr w14:val="tx1"/>
                  </w14:solidFill>
                </w14:textFill>
              </w:rPr>
              <w:t>5.2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4"/>
                <w:szCs w:val="24"/>
                <w14:textFill>
                  <w14:solidFill>
                    <w14:schemeClr w14:val="tx1"/>
                  </w14:solidFill>
                </w14:textFill>
              </w:rPr>
              <w:t>属于一般工业固废，</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建设单位回收</w:t>
            </w:r>
            <w:r>
              <w:rPr>
                <w:rFonts w:hint="eastAsia" w:cs="Times New Roman"/>
                <w:b w:val="0"/>
                <w:bCs w:val="0"/>
                <w:color w:val="000000" w:themeColor="text1"/>
                <w:sz w:val="24"/>
                <w:szCs w:val="24"/>
                <w:lang w:val="en-US" w:eastAsia="zh-CN"/>
                <w14:textFill>
                  <w14:solidFill>
                    <w14:schemeClr w14:val="tx1"/>
                  </w14:solidFill>
                </w14:textFill>
              </w:rPr>
              <w:t>后</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用于生产。</w:t>
            </w:r>
          </w:p>
          <w:p w14:paraId="7C7080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②落地灰：根据分析，本项目未被收集自然沉降于地面的灰尘共计为0.</w:t>
            </w: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4"/>
                <w:szCs w:val="24"/>
                <w14:textFill>
                  <w14:solidFill>
                    <w14:schemeClr w14:val="tx1"/>
                  </w14:solidFill>
                </w14:textFill>
              </w:rPr>
              <w:t>属于一般工业固废，</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建设单位回收后回用于生产。</w:t>
            </w:r>
          </w:p>
          <w:p w14:paraId="51CB93F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③废包装袋：废包装袋主要为原料包装袋，产生量约为0.</w:t>
            </w:r>
            <w:r>
              <w:rPr>
                <w:rFonts w:hint="eastAsia" w:cs="Times New Roman"/>
                <w:b w:val="0"/>
                <w:bCs w:val="0"/>
                <w:color w:val="000000" w:themeColor="text1"/>
                <w:sz w:val="24"/>
                <w:szCs w:val="24"/>
                <w:lang w:val="en-US" w:eastAsia="zh-CN"/>
                <w14:textFill>
                  <w14:solidFill>
                    <w14:schemeClr w14:val="tx1"/>
                  </w14:solidFill>
                </w14:textFill>
              </w:rPr>
              <w:t>53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t/a，集中收集后交物质回收单位回收处理。</w:t>
            </w:r>
          </w:p>
          <w:p w14:paraId="3D2492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④杂质：杂质主要为筛分过程中产生的废金属、小石子等，这些物质主要是畜禽误食的杂质，存在于</w:t>
            </w:r>
            <w:r>
              <w:rPr>
                <w:rFonts w:hint="eastAsia" w:cs="Times New Roman"/>
                <w:b w:val="0"/>
                <w:bCs w:val="0"/>
                <w:color w:val="000000" w:themeColor="text1"/>
                <w:sz w:val="24"/>
                <w:szCs w:val="24"/>
                <w:lang w:val="en-US" w:eastAsia="zh-CN"/>
                <w14:textFill>
                  <w14:solidFill>
                    <w14:schemeClr w14:val="tx1"/>
                  </w14:solidFill>
                </w14:textFill>
              </w:rPr>
              <w:t>畜禽粪</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中，制粒之前需过滤出来，杂质产生量约为</w:t>
            </w:r>
            <w:r>
              <w:rPr>
                <w:rFonts w:hint="eastAsia" w:cs="Times New Roman"/>
                <w:b w:val="0"/>
                <w:bCs w:val="0"/>
                <w:color w:val="000000" w:themeColor="text1"/>
                <w:sz w:val="24"/>
                <w:szCs w:val="24"/>
                <w:lang w:val="en-US" w:eastAsia="zh-CN"/>
                <w14:textFill>
                  <w14:solidFill>
                    <w14:schemeClr w14:val="tx1"/>
                  </w14:solidFill>
                </w14:textFill>
              </w:rPr>
              <w:t>0.11</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t/a。根据杂质的种类综合利用。</w:t>
            </w:r>
          </w:p>
          <w:p w14:paraId="6B8BA7E9">
            <w:pPr>
              <w:adjustRightInd w:val="0"/>
              <w:snapToGrid w:val="0"/>
              <w:spacing w:line="360" w:lineRule="auto"/>
              <w:ind w:firstLine="480" w:firstLineChars="200"/>
              <w:jc w:val="both"/>
              <w:rPr>
                <w:rFonts w:hint="default" w:ascii="Times New Roman" w:hAnsi="Times New Roman" w:cs="Times New Roman"/>
                <w:b w:val="0"/>
                <w:bCs/>
                <w:color w:val="auto"/>
                <w:kern w:val="0"/>
                <w:sz w:val="24"/>
                <w:szCs w:val="24"/>
                <w:highlight w:val="none"/>
                <w:lang w:val="en-US" w:eastAsia="zh-CN"/>
              </w:rPr>
            </w:pPr>
            <w:r>
              <w:rPr>
                <w:rFonts w:hint="eastAsia" w:cs="Times New Roman"/>
                <w:b w:val="0"/>
                <w:bCs/>
                <w:color w:val="auto"/>
                <w:kern w:val="0"/>
                <w:sz w:val="24"/>
                <w:szCs w:val="24"/>
                <w:highlight w:val="none"/>
                <w:lang w:val="en-US" w:eastAsia="zh-CN"/>
              </w:rPr>
              <w:t>⑤废机油</w:t>
            </w:r>
          </w:p>
          <w:p w14:paraId="57487560">
            <w:pPr>
              <w:adjustRightInd w:val="0"/>
              <w:snapToGrid w:val="0"/>
              <w:spacing w:line="360" w:lineRule="auto"/>
              <w:ind w:firstLine="480" w:firstLineChars="200"/>
              <w:jc w:val="both"/>
              <w:rPr>
                <w:rFonts w:hint="eastAsia" w:ascii="Times New Roman" w:hAnsi="Times New Roman" w:cs="Times New Roman"/>
                <w:b w:val="0"/>
                <w:bCs/>
                <w:color w:val="auto"/>
                <w:kern w:val="0"/>
                <w:sz w:val="24"/>
                <w:szCs w:val="24"/>
                <w:highlight w:val="none"/>
                <w:lang w:val="en-US" w:eastAsia="zh-CN"/>
              </w:rPr>
            </w:pPr>
            <w:r>
              <w:rPr>
                <w:color w:val="auto"/>
                <w:sz w:val="24"/>
              </w:rPr>
              <w:t>项目设备维护过程中会产生一定的废</w:t>
            </w:r>
            <w:r>
              <w:rPr>
                <w:rFonts w:hint="eastAsia"/>
                <w:color w:val="auto"/>
                <w:sz w:val="24"/>
              </w:rPr>
              <w:t>机油</w:t>
            </w:r>
            <w:r>
              <w:rPr>
                <w:color w:val="auto"/>
                <w:sz w:val="24"/>
              </w:rPr>
              <w:t>，产生量约为0.</w:t>
            </w:r>
            <w:r>
              <w:rPr>
                <w:rFonts w:hint="eastAsia"/>
                <w:color w:val="auto"/>
                <w:sz w:val="24"/>
                <w:lang w:val="en-US" w:eastAsia="zh-CN"/>
              </w:rPr>
              <w:t>015</w:t>
            </w:r>
            <w:r>
              <w:rPr>
                <w:color w:val="auto"/>
                <w:sz w:val="24"/>
              </w:rPr>
              <w:t>t/a。</w:t>
            </w:r>
            <w:r>
              <w:rPr>
                <w:rFonts w:hint="eastAsia"/>
                <w:color w:val="auto"/>
                <w:sz w:val="24"/>
              </w:rPr>
              <w:t>对照</w:t>
            </w:r>
            <w:r>
              <w:rPr>
                <w:color w:val="auto"/>
                <w:sz w:val="24"/>
              </w:rPr>
              <w:t>《国家危险废物名录》（2021年版），属危险废物，HW08废矿物油与含矿物油废物（900-</w:t>
            </w:r>
            <w:r>
              <w:rPr>
                <w:rFonts w:hint="eastAsia"/>
                <w:color w:val="auto"/>
                <w:sz w:val="24"/>
              </w:rPr>
              <w:t>249</w:t>
            </w:r>
            <w:r>
              <w:rPr>
                <w:color w:val="auto"/>
                <w:sz w:val="24"/>
              </w:rPr>
              <w:t xml:space="preserve">-08 </w:t>
            </w:r>
            <w:r>
              <w:rPr>
                <w:rFonts w:hint="eastAsia"/>
                <w:color w:val="auto"/>
                <w:sz w:val="24"/>
              </w:rPr>
              <w:t>其他生产、销售、使用过程中产生的废矿物油及沾染矿物油的废弃包装物</w:t>
            </w:r>
            <w:r>
              <w:rPr>
                <w:color w:val="auto"/>
                <w:sz w:val="24"/>
              </w:rPr>
              <w:t>）。</w:t>
            </w:r>
            <w:r>
              <w:rPr>
                <w:rFonts w:hint="eastAsia"/>
                <w:color w:val="auto"/>
                <w:sz w:val="24"/>
                <w:lang w:val="en-US" w:eastAsia="zh-CN"/>
              </w:rPr>
              <w:t>要求企业设置危险废物贮存设施对其暂存</w:t>
            </w:r>
            <w:r>
              <w:rPr>
                <w:color w:val="auto"/>
                <w:sz w:val="24"/>
              </w:rPr>
              <w:t>，定期交由有资质单位转运处置。</w:t>
            </w:r>
          </w:p>
          <w:p w14:paraId="1BED2E06">
            <w:pPr>
              <w:adjustRightInd w:val="0"/>
              <w:snapToGrid w:val="0"/>
              <w:spacing w:line="360" w:lineRule="auto"/>
              <w:ind w:firstLine="480" w:firstLineChars="200"/>
              <w:rPr>
                <w:rFonts w:hint="eastAsia"/>
                <w:bCs/>
                <w:color w:val="auto"/>
                <w:kern w:val="0"/>
                <w:sz w:val="24"/>
                <w:lang w:val="en-US" w:eastAsia="zh-CN"/>
              </w:rPr>
            </w:pPr>
            <w:r>
              <w:rPr>
                <w:rFonts w:hint="eastAsia" w:cs="Times New Roman"/>
                <w:b w:val="0"/>
                <w:bCs/>
                <w:color w:val="auto"/>
                <w:kern w:val="0"/>
                <w:sz w:val="24"/>
                <w:szCs w:val="24"/>
                <w:highlight w:val="none"/>
                <w:lang w:val="en-US" w:eastAsia="zh-CN"/>
              </w:rPr>
              <w:t>⑥</w:t>
            </w:r>
            <w:r>
              <w:rPr>
                <w:rFonts w:hint="eastAsia"/>
                <w:bCs/>
                <w:color w:val="auto"/>
                <w:kern w:val="0"/>
                <w:sz w:val="24"/>
                <w:lang w:val="en-US" w:eastAsia="zh-CN"/>
              </w:rPr>
              <w:t>废含油抹布手套</w:t>
            </w:r>
          </w:p>
          <w:p w14:paraId="4D6ED932">
            <w:pPr>
              <w:adjustRightInd w:val="0"/>
              <w:snapToGrid w:val="0"/>
              <w:spacing w:line="360" w:lineRule="auto"/>
              <w:ind w:firstLine="480" w:firstLineChars="200"/>
              <w:jc w:val="both"/>
              <w:rPr>
                <w:rFonts w:hint="default" w:ascii="Times New Roman" w:hAnsi="Times New Roman" w:cs="Times New Roman"/>
                <w:b w:val="0"/>
                <w:bCs/>
                <w:color w:val="auto"/>
                <w:kern w:val="0"/>
                <w:sz w:val="24"/>
                <w:szCs w:val="24"/>
                <w:highlight w:val="none"/>
                <w:lang w:val="en-US" w:eastAsia="zh-CN"/>
              </w:rPr>
            </w:pPr>
            <w:r>
              <w:rPr>
                <w:color w:val="auto"/>
                <w:sz w:val="24"/>
              </w:rPr>
              <w:t>项目设备维护保养过程会产生废含油抹布手套，产生量约为</w:t>
            </w:r>
            <w:r>
              <w:rPr>
                <w:rFonts w:hint="eastAsia"/>
                <w:color w:val="auto"/>
                <w:sz w:val="24"/>
                <w:lang w:val="en-US" w:eastAsia="zh-CN"/>
              </w:rPr>
              <w:t>0.03</w:t>
            </w:r>
            <w:r>
              <w:rPr>
                <w:color w:val="auto"/>
                <w:sz w:val="24"/>
              </w:rPr>
              <w:t>t/a，</w:t>
            </w:r>
            <w:r>
              <w:rPr>
                <w:color w:val="auto"/>
                <w:kern w:val="0"/>
                <w:sz w:val="24"/>
              </w:rPr>
              <w:t>对照《国家危险废物名录》（2021年版），</w:t>
            </w:r>
            <w:r>
              <w:rPr>
                <w:color w:val="auto"/>
                <w:sz w:val="24"/>
              </w:rPr>
              <w:t>危废代码为</w:t>
            </w:r>
            <w:r>
              <w:rPr>
                <w:rFonts w:hint="eastAsia"/>
                <w:color w:val="auto"/>
                <w:sz w:val="24"/>
              </w:rPr>
              <w:t>“</w:t>
            </w:r>
            <w:r>
              <w:rPr>
                <w:color w:val="auto"/>
                <w:sz w:val="24"/>
              </w:rPr>
              <w:t>HW49其他废物</w:t>
            </w:r>
            <w:r>
              <w:rPr>
                <w:rFonts w:hint="eastAsia"/>
                <w:color w:val="auto"/>
                <w:sz w:val="24"/>
              </w:rPr>
              <w:t>中900-041-49</w:t>
            </w:r>
            <w:r>
              <w:rPr>
                <w:color w:val="auto"/>
                <w:sz w:val="24"/>
              </w:rPr>
              <w:t>（</w:t>
            </w:r>
            <w:r>
              <w:rPr>
                <w:rFonts w:hint="eastAsia"/>
                <w:color w:val="auto"/>
                <w:kern w:val="0"/>
                <w:sz w:val="24"/>
                <w:lang w:bidi="ar"/>
              </w:rPr>
              <w:t>含有或沾染毒性、感染性危险废物的废弃包装物、容器、过滤吸附介质</w:t>
            </w:r>
            <w:r>
              <w:rPr>
                <w:color w:val="auto"/>
                <w:sz w:val="24"/>
              </w:rPr>
              <w:t>）</w:t>
            </w:r>
            <w:r>
              <w:rPr>
                <w:rFonts w:hint="eastAsia"/>
                <w:color w:val="auto"/>
                <w:sz w:val="24"/>
              </w:rPr>
              <w:t>”</w:t>
            </w:r>
            <w:r>
              <w:rPr>
                <w:color w:val="auto"/>
                <w:sz w:val="24"/>
              </w:rPr>
              <w:t>。</w:t>
            </w:r>
            <w:r>
              <w:rPr>
                <w:rFonts w:hint="eastAsia"/>
                <w:color w:val="auto"/>
                <w:sz w:val="24"/>
                <w:lang w:val="en-US" w:eastAsia="zh-CN"/>
              </w:rPr>
              <w:t>要求企业设置危险废物贮存设施对其暂存</w:t>
            </w:r>
            <w:r>
              <w:rPr>
                <w:color w:val="auto"/>
                <w:sz w:val="24"/>
              </w:rPr>
              <w:t>，定期交由有资质单位转运处置。</w:t>
            </w:r>
          </w:p>
          <w:p w14:paraId="4A7FF950">
            <w:pPr>
              <w:adjustRightInd w:val="0"/>
              <w:snapToGrid w:val="0"/>
              <w:spacing w:line="360" w:lineRule="auto"/>
              <w:ind w:firstLine="480" w:firstLineChars="200"/>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⑦废油桶</w:t>
            </w:r>
          </w:p>
          <w:p w14:paraId="5C4F554E">
            <w:pPr>
              <w:adjustRightInd w:val="0"/>
              <w:snapToGrid w:val="0"/>
              <w:spacing w:line="360" w:lineRule="auto"/>
              <w:ind w:firstLine="480" w:firstLineChars="200"/>
              <w:jc w:val="both"/>
              <w:rPr>
                <w:rFonts w:hint="default"/>
                <w:lang w:val="en-US" w:eastAsia="zh-CN"/>
              </w:rPr>
            </w:pPr>
            <w:r>
              <w:rPr>
                <w:rFonts w:hint="eastAsia"/>
                <w:color w:val="auto"/>
                <w:sz w:val="24"/>
                <w:lang w:val="en-US" w:eastAsia="zh-CN"/>
              </w:rPr>
              <w:t>本项目设备维护保养会产生一定的废油桶，产生量约为0.005t/a，</w:t>
            </w:r>
            <w:r>
              <w:rPr>
                <w:color w:val="auto"/>
                <w:kern w:val="0"/>
                <w:sz w:val="24"/>
              </w:rPr>
              <w:t>对照《国家危险废物名录》（2021年版），</w:t>
            </w:r>
            <w:r>
              <w:rPr>
                <w:color w:val="auto"/>
                <w:sz w:val="24"/>
              </w:rPr>
              <w:t>危废代码为</w:t>
            </w:r>
            <w:r>
              <w:rPr>
                <w:rFonts w:hint="eastAsia"/>
                <w:color w:val="auto"/>
                <w:sz w:val="24"/>
              </w:rPr>
              <w:t>“</w:t>
            </w:r>
            <w:r>
              <w:rPr>
                <w:color w:val="auto"/>
                <w:sz w:val="24"/>
              </w:rPr>
              <w:t>HW</w:t>
            </w:r>
            <w:r>
              <w:rPr>
                <w:rFonts w:hint="eastAsia"/>
                <w:color w:val="auto"/>
                <w:sz w:val="24"/>
                <w:lang w:val="en-US" w:eastAsia="zh-CN"/>
              </w:rPr>
              <w:t>08</w:t>
            </w:r>
            <w:r>
              <w:rPr>
                <w:color w:val="auto"/>
                <w:sz w:val="24"/>
              </w:rPr>
              <w:t>其他废物</w:t>
            </w:r>
            <w:r>
              <w:rPr>
                <w:rFonts w:hint="eastAsia"/>
                <w:color w:val="auto"/>
                <w:sz w:val="24"/>
              </w:rPr>
              <w:t>中900-</w:t>
            </w:r>
            <w:r>
              <w:rPr>
                <w:rFonts w:hint="eastAsia"/>
                <w:color w:val="auto"/>
                <w:sz w:val="24"/>
                <w:lang w:val="en-US" w:eastAsia="zh-CN"/>
              </w:rPr>
              <w:t>249</w:t>
            </w:r>
            <w:r>
              <w:rPr>
                <w:rFonts w:hint="eastAsia"/>
                <w:color w:val="auto"/>
                <w:sz w:val="24"/>
              </w:rPr>
              <w:t>-</w:t>
            </w:r>
            <w:r>
              <w:rPr>
                <w:rFonts w:hint="eastAsia"/>
                <w:color w:val="auto"/>
                <w:sz w:val="24"/>
                <w:lang w:val="en-US" w:eastAsia="zh-CN"/>
              </w:rPr>
              <w:t>08</w:t>
            </w:r>
            <w:r>
              <w:rPr>
                <w:color w:val="auto"/>
                <w:sz w:val="24"/>
              </w:rPr>
              <w:t>（</w:t>
            </w:r>
            <w:r>
              <w:rPr>
                <w:rFonts w:hint="eastAsia"/>
                <w:color w:val="auto"/>
                <w:kern w:val="0"/>
                <w:sz w:val="24"/>
                <w:lang w:bidi="ar"/>
              </w:rPr>
              <w:t>其他生产、销售、使用过程中产生的废矿物油及沾染矿物油的废弃包装物。</w:t>
            </w:r>
            <w:r>
              <w:rPr>
                <w:color w:val="auto"/>
                <w:sz w:val="24"/>
              </w:rPr>
              <w:t>）</w:t>
            </w:r>
            <w:r>
              <w:rPr>
                <w:rFonts w:hint="eastAsia"/>
                <w:color w:val="auto"/>
                <w:sz w:val="24"/>
              </w:rPr>
              <w:t>”</w:t>
            </w:r>
            <w:r>
              <w:rPr>
                <w:color w:val="auto"/>
                <w:sz w:val="24"/>
              </w:rPr>
              <w:t>。</w:t>
            </w:r>
            <w:r>
              <w:rPr>
                <w:rFonts w:hint="eastAsia"/>
                <w:color w:val="auto"/>
                <w:sz w:val="24"/>
                <w:lang w:val="en-US" w:eastAsia="zh-CN"/>
              </w:rPr>
              <w:t>要求企业设置危险废物贮存设施对其暂存</w:t>
            </w:r>
            <w:r>
              <w:rPr>
                <w:color w:val="auto"/>
                <w:sz w:val="24"/>
              </w:rPr>
              <w:t>，定期交由有资质单位转运处置。</w:t>
            </w:r>
          </w:p>
          <w:p w14:paraId="50F0855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本项目固体废物产生量与处理措施见表4-</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14:paraId="24207373">
            <w:pPr>
              <w:keepNext w:val="0"/>
              <w:keepLines w:val="0"/>
              <w:pageBreakBefore w:val="0"/>
              <w:widowControl/>
              <w:kinsoku/>
              <w:wordWrap/>
              <w:overflowPunct/>
              <w:topLinePunct w:val="0"/>
              <w:autoSpaceDE/>
              <w:autoSpaceDN/>
              <w:bidi w:val="0"/>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ascii="Times New Roman" w:hAnsi="Times New Roman" w:cs="Times New Roman"/>
                <w:b/>
                <w:color w:val="000000" w:themeColor="text1"/>
                <w:sz w:val="21"/>
                <w:szCs w:val="21"/>
                <w:lang w:val="en-US" w:eastAsia="zh-CN"/>
                <w14:textFill>
                  <w14:solidFill>
                    <w14:schemeClr w14:val="tx1"/>
                  </w14:solidFill>
                </w14:textFill>
              </w:rPr>
              <w:t>1</w:t>
            </w:r>
            <w:r>
              <w:rPr>
                <w:rFonts w:hint="eastAsia" w:cs="Times New Roman"/>
                <w:b/>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 xml:space="preserve">  固体废物产生情况及处理措施一览表</w:t>
            </w:r>
          </w:p>
          <w:tbl>
            <w:tblPr>
              <w:tblStyle w:val="22"/>
              <w:tblW w:w="49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312"/>
              <w:gridCol w:w="1480"/>
              <w:gridCol w:w="1020"/>
              <w:gridCol w:w="1254"/>
              <w:gridCol w:w="1187"/>
              <w:gridCol w:w="1140"/>
            </w:tblGrid>
            <w:tr w14:paraId="4A748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71" w:type="pct"/>
                  <w:gridSpan w:val="2"/>
                  <w:tcBorders>
                    <w:tl2br w:val="nil"/>
                    <w:tr2bl w:val="nil"/>
                  </w:tcBorders>
                  <w:noWrap w:val="0"/>
                  <w:vAlign w:val="center"/>
                </w:tcPr>
                <w:p w14:paraId="3B38D1E1">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名称</w:t>
                  </w:r>
                </w:p>
              </w:tc>
              <w:tc>
                <w:tcPr>
                  <w:tcW w:w="907" w:type="pct"/>
                  <w:tcBorders>
                    <w:tl2br w:val="nil"/>
                    <w:tr2bl w:val="nil"/>
                  </w:tcBorders>
                  <w:noWrap w:val="0"/>
                  <w:vAlign w:val="center"/>
                </w:tcPr>
                <w:p w14:paraId="5CA156D9">
                  <w:pPr>
                    <w:pStyle w:val="51"/>
                    <w:adjustRightInd w:val="0"/>
                    <w:snapToGrid w:val="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生活垃圾</w:t>
                  </w:r>
                </w:p>
              </w:tc>
              <w:tc>
                <w:tcPr>
                  <w:tcW w:w="625" w:type="pct"/>
                  <w:tcBorders>
                    <w:tl2br w:val="nil"/>
                    <w:tr2bl w:val="nil"/>
                  </w:tcBorders>
                  <w:noWrap w:val="0"/>
                  <w:vAlign w:val="center"/>
                </w:tcPr>
                <w:p w14:paraId="0B72DED7">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除尘灰</w:t>
                  </w:r>
                </w:p>
              </w:tc>
              <w:tc>
                <w:tcPr>
                  <w:tcW w:w="768" w:type="pct"/>
                  <w:tcBorders>
                    <w:tl2br w:val="nil"/>
                    <w:tr2bl w:val="nil"/>
                  </w:tcBorders>
                  <w:noWrap w:val="0"/>
                  <w:vAlign w:val="center"/>
                </w:tcPr>
                <w:p w14:paraId="6281832C">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落地灰</w:t>
                  </w:r>
                </w:p>
              </w:tc>
              <w:tc>
                <w:tcPr>
                  <w:tcW w:w="727" w:type="pct"/>
                  <w:tcBorders>
                    <w:tl2br w:val="nil"/>
                    <w:tr2bl w:val="nil"/>
                  </w:tcBorders>
                  <w:noWrap w:val="0"/>
                  <w:vAlign w:val="center"/>
                </w:tcPr>
                <w:p w14:paraId="15E19019">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废包装袋</w:t>
                  </w:r>
                </w:p>
              </w:tc>
              <w:tc>
                <w:tcPr>
                  <w:tcW w:w="699" w:type="pct"/>
                  <w:tcBorders>
                    <w:tl2br w:val="nil"/>
                    <w:tr2bl w:val="nil"/>
                  </w:tcBorders>
                  <w:noWrap w:val="0"/>
                  <w:vAlign w:val="center"/>
                </w:tcPr>
                <w:p w14:paraId="607FED0D">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杂质</w:t>
                  </w:r>
                </w:p>
              </w:tc>
            </w:tr>
            <w:tr w14:paraId="1F8F1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651065FA">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产生环节</w:t>
                  </w:r>
                </w:p>
              </w:tc>
              <w:tc>
                <w:tcPr>
                  <w:tcW w:w="907" w:type="pct"/>
                  <w:tcBorders>
                    <w:tl2br w:val="nil"/>
                    <w:tr2bl w:val="nil"/>
                  </w:tcBorders>
                  <w:noWrap w:val="0"/>
                  <w:vAlign w:val="center"/>
                </w:tcPr>
                <w:p w14:paraId="1535842F">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办公</w:t>
                  </w:r>
                </w:p>
              </w:tc>
              <w:tc>
                <w:tcPr>
                  <w:tcW w:w="625" w:type="pct"/>
                  <w:tcBorders>
                    <w:tl2br w:val="nil"/>
                    <w:tr2bl w:val="nil"/>
                  </w:tcBorders>
                  <w:noWrap w:val="0"/>
                  <w:vAlign w:val="center"/>
                </w:tcPr>
                <w:p w14:paraId="19512AD4">
                  <w:pPr>
                    <w:pStyle w:val="52"/>
                    <w:adjustRightIn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除尘</w:t>
                  </w:r>
                </w:p>
              </w:tc>
              <w:tc>
                <w:tcPr>
                  <w:tcW w:w="768" w:type="pct"/>
                  <w:tcBorders>
                    <w:tl2br w:val="nil"/>
                    <w:tr2bl w:val="nil"/>
                  </w:tcBorders>
                  <w:noWrap w:val="0"/>
                  <w:vAlign w:val="center"/>
                </w:tcPr>
                <w:p w14:paraId="3C4370CA">
                  <w:pPr>
                    <w:pStyle w:val="52"/>
                    <w:adjustRightIn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自然降尘</w:t>
                  </w:r>
                </w:p>
              </w:tc>
              <w:tc>
                <w:tcPr>
                  <w:tcW w:w="727" w:type="pct"/>
                  <w:tcBorders>
                    <w:tl2br w:val="nil"/>
                    <w:tr2bl w:val="nil"/>
                  </w:tcBorders>
                  <w:noWrap w:val="0"/>
                  <w:vAlign w:val="center"/>
                </w:tcPr>
                <w:p w14:paraId="7DC7F269">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原料包装</w:t>
                  </w:r>
                </w:p>
              </w:tc>
              <w:tc>
                <w:tcPr>
                  <w:tcW w:w="699" w:type="pct"/>
                  <w:tcBorders>
                    <w:tl2br w:val="nil"/>
                    <w:tr2bl w:val="nil"/>
                  </w:tcBorders>
                  <w:noWrap w:val="0"/>
                  <w:vAlign w:val="center"/>
                </w:tcPr>
                <w:p w14:paraId="1362AE3D">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筛分</w:t>
                  </w:r>
                </w:p>
              </w:tc>
            </w:tr>
            <w:tr w14:paraId="40D00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205A3E03">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属性</w:t>
                  </w:r>
                </w:p>
              </w:tc>
              <w:tc>
                <w:tcPr>
                  <w:tcW w:w="907" w:type="pct"/>
                  <w:tcBorders>
                    <w:tl2br w:val="nil"/>
                    <w:tr2bl w:val="nil"/>
                  </w:tcBorders>
                  <w:noWrap w:val="0"/>
                  <w:vAlign w:val="center"/>
                </w:tcPr>
                <w:p w14:paraId="4E636823">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2821" w:type="pct"/>
                  <w:gridSpan w:val="4"/>
                  <w:tcBorders>
                    <w:tl2br w:val="nil"/>
                    <w:tr2bl w:val="nil"/>
                  </w:tcBorders>
                  <w:noWrap w:val="0"/>
                  <w:vAlign w:val="center"/>
                </w:tcPr>
                <w:p w14:paraId="15895429">
                  <w:pPr>
                    <w:adjustRightInd w:val="0"/>
                    <w:snapToGrid w:val="0"/>
                    <w:jc w:val="center"/>
                    <w:rPr>
                      <w:rFonts w:hint="default" w:ascii="Times New Roman" w:hAnsi="Times New Roman"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一般工业固体废物</w:t>
                  </w:r>
                </w:p>
              </w:tc>
            </w:tr>
            <w:tr w14:paraId="211C7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71" w:type="pct"/>
                  <w:gridSpan w:val="2"/>
                  <w:tcBorders>
                    <w:tl2br w:val="nil"/>
                    <w:tr2bl w:val="nil"/>
                  </w:tcBorders>
                  <w:noWrap w:val="0"/>
                  <w:vAlign w:val="center"/>
                </w:tcPr>
                <w:p w14:paraId="2423AE70">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废物</w:t>
                  </w:r>
                  <w:r>
                    <w:rPr>
                      <w:rFonts w:hint="default" w:ascii="Times New Roman" w:hAnsi="Times New Roman" w:cs="Times New Roman"/>
                      <w:bCs/>
                      <w:color w:val="000000" w:themeColor="text1"/>
                      <w:sz w:val="21"/>
                      <w:szCs w:val="21"/>
                      <w:lang w:val="en-US"/>
                      <w14:textFill>
                        <w14:solidFill>
                          <w14:schemeClr w14:val="tx1"/>
                        </w14:solidFill>
                      </w14:textFill>
                    </w:rPr>
                    <w:t>类别及</w:t>
                  </w:r>
                  <w:r>
                    <w:rPr>
                      <w:rFonts w:hint="default" w:ascii="Times New Roman" w:hAnsi="Times New Roman" w:cs="Times New Roman"/>
                      <w:bCs/>
                      <w:color w:val="000000" w:themeColor="text1"/>
                      <w:sz w:val="21"/>
                      <w:szCs w:val="21"/>
                      <w14:textFill>
                        <w14:solidFill>
                          <w14:schemeClr w14:val="tx1"/>
                        </w14:solidFill>
                      </w14:textFill>
                    </w:rPr>
                    <w:t>代码</w:t>
                  </w:r>
                </w:p>
              </w:tc>
              <w:tc>
                <w:tcPr>
                  <w:tcW w:w="907" w:type="pct"/>
                  <w:tcBorders>
                    <w:tl2br w:val="nil"/>
                    <w:tr2bl w:val="nil"/>
                  </w:tcBorders>
                  <w:noWrap w:val="0"/>
                  <w:vAlign w:val="center"/>
                </w:tcPr>
                <w:p w14:paraId="3F4E3C58">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4" w:type="pct"/>
                  <w:gridSpan w:val="2"/>
                  <w:tcBorders>
                    <w:tl2br w:val="nil"/>
                    <w:tr2bl w:val="nil"/>
                  </w:tcBorders>
                  <w:noWrap w:val="0"/>
                  <w:vAlign w:val="center"/>
                </w:tcPr>
                <w:p w14:paraId="7EB81F58">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262-001-66</w:t>
                  </w:r>
                </w:p>
              </w:tc>
              <w:tc>
                <w:tcPr>
                  <w:tcW w:w="727" w:type="pct"/>
                  <w:tcBorders>
                    <w:tl2br w:val="nil"/>
                    <w:tr2bl w:val="nil"/>
                  </w:tcBorders>
                  <w:noWrap w:val="0"/>
                  <w:vAlign w:val="center"/>
                </w:tcPr>
                <w:p w14:paraId="3C8DF82F">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262-001-99</w:t>
                  </w:r>
                </w:p>
              </w:tc>
              <w:tc>
                <w:tcPr>
                  <w:tcW w:w="699" w:type="pct"/>
                  <w:tcBorders>
                    <w:tl2br w:val="nil"/>
                    <w:tr2bl w:val="nil"/>
                  </w:tcBorders>
                  <w:noWrap w:val="0"/>
                  <w:vAlign w:val="center"/>
                </w:tcPr>
                <w:p w14:paraId="66B6C908">
                  <w:pPr>
                    <w:adjustRightInd w:val="0"/>
                    <w:snapToGrid w:val="0"/>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262-001-99</w:t>
                  </w:r>
                </w:p>
              </w:tc>
            </w:tr>
            <w:tr w14:paraId="17BB2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04BCE9F5">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有毒有害物质名称</w:t>
                  </w:r>
                </w:p>
              </w:tc>
              <w:tc>
                <w:tcPr>
                  <w:tcW w:w="907" w:type="pct"/>
                  <w:tcBorders>
                    <w:tl2br w:val="nil"/>
                    <w:tr2bl w:val="nil"/>
                  </w:tcBorders>
                  <w:noWrap w:val="0"/>
                  <w:vAlign w:val="center"/>
                </w:tcPr>
                <w:p w14:paraId="7C3FD24A">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625" w:type="pct"/>
                  <w:tcBorders>
                    <w:tl2br w:val="nil"/>
                    <w:tr2bl w:val="nil"/>
                  </w:tcBorders>
                  <w:noWrap w:val="0"/>
                  <w:vAlign w:val="center"/>
                </w:tcPr>
                <w:p w14:paraId="4FEF86B8">
                  <w:pPr>
                    <w:adjustRightInd w:val="0"/>
                    <w:snapToGrid w:val="0"/>
                    <w:jc w:val="center"/>
                    <w:rPr>
                      <w:rFonts w:hint="default" w:ascii="Times New Roman" w:hAnsi="Times New Roman" w:cs="Times New Roman"/>
                      <w:b w:val="0"/>
                      <w:bCs w:val="0"/>
                      <w:color w:val="000000" w:themeColor="text1"/>
                      <w:sz w:val="21"/>
                      <w:szCs w:val="21"/>
                      <w14:textFill>
                        <w14:solidFill>
                          <w14:schemeClr w14:val="tx1"/>
                        </w14:solidFill>
                      </w14:textFill>
                    </w:rPr>
                  </w:pPr>
                </w:p>
              </w:tc>
              <w:tc>
                <w:tcPr>
                  <w:tcW w:w="768" w:type="pct"/>
                  <w:tcBorders>
                    <w:tl2br w:val="nil"/>
                    <w:tr2bl w:val="nil"/>
                  </w:tcBorders>
                  <w:noWrap w:val="0"/>
                  <w:vAlign w:val="center"/>
                </w:tcPr>
                <w:p w14:paraId="4A5D32FE">
                  <w:pPr>
                    <w:adjustRightInd w:val="0"/>
                    <w:snapToGrid w:val="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727" w:type="pct"/>
                  <w:tcBorders>
                    <w:tl2br w:val="nil"/>
                    <w:tr2bl w:val="nil"/>
                  </w:tcBorders>
                  <w:noWrap w:val="0"/>
                  <w:vAlign w:val="center"/>
                </w:tcPr>
                <w:p w14:paraId="7C613F03">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699" w:type="pct"/>
                  <w:tcBorders>
                    <w:tl2br w:val="nil"/>
                    <w:tr2bl w:val="nil"/>
                  </w:tcBorders>
                  <w:noWrap w:val="0"/>
                  <w:vAlign w:val="center"/>
                </w:tcPr>
                <w:p w14:paraId="2CA19256">
                  <w:pPr>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r>
            <w:tr w14:paraId="0AC7E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28180E0F">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物理性状</w:t>
                  </w:r>
                </w:p>
              </w:tc>
              <w:tc>
                <w:tcPr>
                  <w:tcW w:w="907" w:type="pct"/>
                  <w:tcBorders>
                    <w:tl2br w:val="nil"/>
                    <w:tr2bl w:val="nil"/>
                  </w:tcBorders>
                  <w:noWrap w:val="0"/>
                  <w:vAlign w:val="center"/>
                </w:tcPr>
                <w:p w14:paraId="04AD30F0">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固态</w:t>
                  </w:r>
                </w:p>
              </w:tc>
              <w:tc>
                <w:tcPr>
                  <w:tcW w:w="625" w:type="pct"/>
                  <w:tcBorders>
                    <w:tl2br w:val="nil"/>
                    <w:tr2bl w:val="nil"/>
                  </w:tcBorders>
                  <w:noWrap w:val="0"/>
                  <w:vAlign w:val="center"/>
                </w:tcPr>
                <w:p w14:paraId="3C38A7E4">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固态</w:t>
                  </w:r>
                </w:p>
              </w:tc>
              <w:tc>
                <w:tcPr>
                  <w:tcW w:w="768" w:type="pct"/>
                  <w:tcBorders>
                    <w:tl2br w:val="nil"/>
                    <w:tr2bl w:val="nil"/>
                  </w:tcBorders>
                  <w:noWrap w:val="0"/>
                  <w:vAlign w:val="center"/>
                </w:tcPr>
                <w:p w14:paraId="49399176">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固态</w:t>
                  </w:r>
                </w:p>
              </w:tc>
              <w:tc>
                <w:tcPr>
                  <w:tcW w:w="727" w:type="pct"/>
                  <w:tcBorders>
                    <w:tl2br w:val="nil"/>
                    <w:tr2bl w:val="nil"/>
                  </w:tcBorders>
                  <w:noWrap w:val="0"/>
                  <w:vAlign w:val="center"/>
                </w:tcPr>
                <w:p w14:paraId="1BF6B30E">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固态</w:t>
                  </w:r>
                </w:p>
              </w:tc>
              <w:tc>
                <w:tcPr>
                  <w:tcW w:w="699" w:type="pct"/>
                  <w:tcBorders>
                    <w:tl2br w:val="nil"/>
                    <w:tr2bl w:val="nil"/>
                  </w:tcBorders>
                  <w:noWrap w:val="0"/>
                  <w:vAlign w:val="center"/>
                </w:tcPr>
                <w:p w14:paraId="6AE89AF7">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固态</w:t>
                  </w:r>
                </w:p>
              </w:tc>
            </w:tr>
            <w:tr w14:paraId="22000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7C859477">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环境危险特性</w:t>
                  </w:r>
                </w:p>
              </w:tc>
              <w:tc>
                <w:tcPr>
                  <w:tcW w:w="907" w:type="pct"/>
                  <w:tcBorders>
                    <w:tl2br w:val="nil"/>
                    <w:tr2bl w:val="nil"/>
                  </w:tcBorders>
                  <w:noWrap w:val="0"/>
                  <w:vAlign w:val="center"/>
                </w:tcPr>
                <w:p w14:paraId="579C2562">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625" w:type="pct"/>
                  <w:tcBorders>
                    <w:tl2br w:val="nil"/>
                    <w:tr2bl w:val="nil"/>
                  </w:tcBorders>
                  <w:noWrap w:val="0"/>
                  <w:vAlign w:val="center"/>
                </w:tcPr>
                <w:p w14:paraId="054D9ED0">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768" w:type="pct"/>
                  <w:tcBorders>
                    <w:tl2br w:val="nil"/>
                    <w:tr2bl w:val="nil"/>
                  </w:tcBorders>
                  <w:noWrap w:val="0"/>
                  <w:vAlign w:val="center"/>
                </w:tcPr>
                <w:p w14:paraId="4FCD8414">
                  <w:pPr>
                    <w:adjustRightInd w:val="0"/>
                    <w:snapToGrid w:val="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727" w:type="pct"/>
                  <w:tcBorders>
                    <w:tl2br w:val="nil"/>
                    <w:tr2bl w:val="nil"/>
                  </w:tcBorders>
                  <w:noWrap w:val="0"/>
                  <w:vAlign w:val="center"/>
                </w:tcPr>
                <w:p w14:paraId="5E378757">
                  <w:pPr>
                    <w:adjustRightInd w:val="0"/>
                    <w:snapToGrid w:val="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699" w:type="pct"/>
                  <w:tcBorders>
                    <w:tl2br w:val="nil"/>
                    <w:tr2bl w:val="nil"/>
                  </w:tcBorders>
                  <w:noWrap w:val="0"/>
                  <w:vAlign w:val="center"/>
                </w:tcPr>
                <w:p w14:paraId="38755712">
                  <w:pPr>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r>
            <w:tr w14:paraId="42A1F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7515124F">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产生量（t/a）</w:t>
                  </w:r>
                </w:p>
              </w:tc>
              <w:tc>
                <w:tcPr>
                  <w:tcW w:w="907" w:type="pct"/>
                  <w:tcBorders>
                    <w:tl2br w:val="nil"/>
                    <w:tr2bl w:val="nil"/>
                  </w:tcBorders>
                  <w:noWrap w:val="0"/>
                  <w:vAlign w:val="center"/>
                </w:tcPr>
                <w:p w14:paraId="41843C16">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1.32</w:t>
                  </w:r>
                </w:p>
              </w:tc>
              <w:tc>
                <w:tcPr>
                  <w:tcW w:w="625" w:type="pct"/>
                  <w:tcBorders>
                    <w:tl2br w:val="nil"/>
                    <w:tr2bl w:val="nil"/>
                  </w:tcBorders>
                  <w:noWrap w:val="0"/>
                  <w:vAlign w:val="center"/>
                </w:tcPr>
                <w:p w14:paraId="69AC1897">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5.2</w:t>
                  </w:r>
                </w:p>
              </w:tc>
              <w:tc>
                <w:tcPr>
                  <w:tcW w:w="768" w:type="pct"/>
                  <w:tcBorders>
                    <w:tl2br w:val="nil"/>
                    <w:tr2bl w:val="nil"/>
                  </w:tcBorders>
                  <w:noWrap w:val="0"/>
                  <w:vAlign w:val="center"/>
                </w:tcPr>
                <w:p w14:paraId="5FCD4D8A">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r>
                    <w:rPr>
                      <w:rFonts w:hint="eastAsia" w:cs="Times New Roman"/>
                      <w:b w:val="0"/>
                      <w:bCs w:val="0"/>
                      <w:color w:val="000000" w:themeColor="text1"/>
                      <w:sz w:val="21"/>
                      <w:szCs w:val="21"/>
                      <w:lang w:val="en-US" w:eastAsia="zh-CN"/>
                      <w14:textFill>
                        <w14:solidFill>
                          <w14:schemeClr w14:val="tx1"/>
                        </w14:solidFill>
                      </w14:textFill>
                    </w:rPr>
                    <w:t>.2</w:t>
                  </w:r>
                </w:p>
              </w:tc>
              <w:tc>
                <w:tcPr>
                  <w:tcW w:w="727" w:type="pct"/>
                  <w:tcBorders>
                    <w:tl2br w:val="nil"/>
                    <w:tr2bl w:val="nil"/>
                  </w:tcBorders>
                  <w:noWrap w:val="0"/>
                  <w:vAlign w:val="center"/>
                </w:tcPr>
                <w:p w14:paraId="20B821A1">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0.3</w:t>
                  </w:r>
                </w:p>
              </w:tc>
              <w:tc>
                <w:tcPr>
                  <w:tcW w:w="699" w:type="pct"/>
                  <w:tcBorders>
                    <w:tl2br w:val="nil"/>
                    <w:tr2bl w:val="nil"/>
                  </w:tcBorders>
                  <w:noWrap w:val="0"/>
                  <w:vAlign w:val="center"/>
                </w:tcPr>
                <w:p w14:paraId="6721663B">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r>
                    <w:rPr>
                      <w:rFonts w:hint="eastAsia" w:cs="Times New Roman"/>
                      <w:b w:val="0"/>
                      <w:bCs w:val="0"/>
                      <w:color w:val="000000" w:themeColor="text1"/>
                      <w:sz w:val="21"/>
                      <w:szCs w:val="21"/>
                      <w:lang w:val="en-US" w:eastAsia="zh-CN"/>
                      <w14:textFill>
                        <w14:solidFill>
                          <w14:schemeClr w14:val="tx1"/>
                        </w14:solidFill>
                      </w14:textFill>
                    </w:rPr>
                    <w:t>11</w:t>
                  </w:r>
                </w:p>
              </w:tc>
            </w:tr>
            <w:tr w14:paraId="6498B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271" w:type="pct"/>
                  <w:gridSpan w:val="2"/>
                  <w:tcBorders>
                    <w:tl2br w:val="nil"/>
                    <w:tr2bl w:val="nil"/>
                  </w:tcBorders>
                  <w:noWrap w:val="0"/>
                  <w:vAlign w:val="center"/>
                </w:tcPr>
                <w:p w14:paraId="2C4FC14E">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贮存方式</w:t>
                  </w:r>
                </w:p>
              </w:tc>
              <w:tc>
                <w:tcPr>
                  <w:tcW w:w="907" w:type="pct"/>
                  <w:tcBorders>
                    <w:tl2br w:val="nil"/>
                    <w:tr2bl w:val="nil"/>
                  </w:tcBorders>
                  <w:noWrap w:val="0"/>
                  <w:vAlign w:val="center"/>
                </w:tcPr>
                <w:p w14:paraId="4DCC9825">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桶装</w:t>
                  </w:r>
                </w:p>
              </w:tc>
              <w:tc>
                <w:tcPr>
                  <w:tcW w:w="1394" w:type="pct"/>
                  <w:gridSpan w:val="2"/>
                  <w:tcBorders>
                    <w:tl2br w:val="nil"/>
                    <w:tr2bl w:val="nil"/>
                  </w:tcBorders>
                  <w:noWrap w:val="0"/>
                  <w:vAlign w:val="center"/>
                </w:tcPr>
                <w:p w14:paraId="02343915">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袋装</w:t>
                  </w:r>
                </w:p>
              </w:tc>
              <w:tc>
                <w:tcPr>
                  <w:tcW w:w="727" w:type="pct"/>
                  <w:tcBorders>
                    <w:tl2br w:val="nil"/>
                    <w:tr2bl w:val="nil"/>
                  </w:tcBorders>
                  <w:noWrap w:val="0"/>
                  <w:vAlign w:val="center"/>
                </w:tcPr>
                <w:p w14:paraId="3B8A1AAA">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码垛</w:t>
                  </w:r>
                </w:p>
              </w:tc>
              <w:tc>
                <w:tcPr>
                  <w:tcW w:w="699" w:type="pct"/>
                  <w:tcBorders>
                    <w:tl2br w:val="nil"/>
                    <w:tr2bl w:val="nil"/>
                  </w:tcBorders>
                  <w:noWrap w:val="0"/>
                  <w:vAlign w:val="center"/>
                </w:tcPr>
                <w:p w14:paraId="511485B2">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袋装</w:t>
                  </w:r>
                </w:p>
              </w:tc>
            </w:tr>
            <w:tr w14:paraId="3B3CB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6" w:type="pct"/>
                  <w:vMerge w:val="restart"/>
                  <w:tcBorders>
                    <w:tl2br w:val="nil"/>
                    <w:tr2bl w:val="nil"/>
                  </w:tcBorders>
                  <w:noWrap w:val="0"/>
                  <w:vAlign w:val="center"/>
                </w:tcPr>
                <w:p w14:paraId="24AC1DD8">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利用处置方式和去向</w:t>
                  </w:r>
                  <w:r>
                    <w:rPr>
                      <w:rFonts w:hint="default" w:ascii="Times New Roman" w:hAnsi="Times New Roman" w:cs="Times New Roman"/>
                      <w:bCs/>
                      <w:color w:val="000000" w:themeColor="text1"/>
                      <w:sz w:val="21"/>
                      <w:szCs w:val="21"/>
                      <w14:textFill>
                        <w14:solidFill>
                          <w14:schemeClr w14:val="tx1"/>
                        </w14:solidFill>
                      </w14:textFill>
                    </w:rPr>
                    <w:t>（t/a）</w:t>
                  </w:r>
                </w:p>
              </w:tc>
              <w:tc>
                <w:tcPr>
                  <w:tcW w:w="804" w:type="pct"/>
                  <w:tcBorders>
                    <w:tl2br w:val="nil"/>
                    <w:tr2bl w:val="nil"/>
                  </w:tcBorders>
                  <w:noWrap w:val="0"/>
                  <w:vAlign w:val="center"/>
                </w:tcPr>
                <w:p w14:paraId="7C4A6CA4">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自行贮存量</w:t>
                  </w:r>
                </w:p>
              </w:tc>
              <w:tc>
                <w:tcPr>
                  <w:tcW w:w="907" w:type="pct"/>
                  <w:tcBorders>
                    <w:tl2br w:val="nil"/>
                    <w:tr2bl w:val="nil"/>
                  </w:tcBorders>
                  <w:noWrap w:val="0"/>
                  <w:vAlign w:val="center"/>
                </w:tcPr>
                <w:p w14:paraId="7A61FF91">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625" w:type="pct"/>
                  <w:tcBorders>
                    <w:tl2br w:val="nil"/>
                    <w:tr2bl w:val="nil"/>
                  </w:tcBorders>
                  <w:noWrap w:val="0"/>
                  <w:vAlign w:val="center"/>
                </w:tcPr>
                <w:p w14:paraId="1307F19C">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768" w:type="pct"/>
                  <w:tcBorders>
                    <w:tl2br w:val="nil"/>
                    <w:tr2bl w:val="nil"/>
                  </w:tcBorders>
                  <w:noWrap w:val="0"/>
                  <w:vAlign w:val="center"/>
                </w:tcPr>
                <w:p w14:paraId="43B4524F">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727" w:type="pct"/>
                  <w:tcBorders>
                    <w:tl2br w:val="nil"/>
                    <w:tr2bl w:val="nil"/>
                  </w:tcBorders>
                  <w:noWrap w:val="0"/>
                  <w:vAlign w:val="center"/>
                </w:tcPr>
                <w:p w14:paraId="4FC12DBD">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699" w:type="pct"/>
                  <w:tcBorders>
                    <w:tl2br w:val="nil"/>
                    <w:tr2bl w:val="nil"/>
                  </w:tcBorders>
                  <w:noWrap w:val="0"/>
                  <w:vAlign w:val="center"/>
                </w:tcPr>
                <w:p w14:paraId="5ED21E0C">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2070D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6" w:type="pct"/>
                  <w:vMerge w:val="continue"/>
                  <w:tcBorders>
                    <w:tl2br w:val="nil"/>
                    <w:tr2bl w:val="nil"/>
                  </w:tcBorders>
                  <w:noWrap w:val="0"/>
                  <w:vAlign w:val="center"/>
                </w:tcPr>
                <w:p w14:paraId="4F11FA9A">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804" w:type="pct"/>
                  <w:tcBorders>
                    <w:tl2br w:val="nil"/>
                    <w:tr2bl w:val="nil"/>
                  </w:tcBorders>
                  <w:noWrap w:val="0"/>
                  <w:vAlign w:val="center"/>
                </w:tcPr>
                <w:p w14:paraId="0EA196FC">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自行利用量</w:t>
                  </w:r>
                </w:p>
              </w:tc>
              <w:tc>
                <w:tcPr>
                  <w:tcW w:w="907" w:type="pct"/>
                  <w:tcBorders>
                    <w:tl2br w:val="nil"/>
                    <w:tr2bl w:val="nil"/>
                  </w:tcBorders>
                  <w:noWrap w:val="0"/>
                  <w:vAlign w:val="center"/>
                </w:tcPr>
                <w:p w14:paraId="47F8D937">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625" w:type="pct"/>
                  <w:tcBorders>
                    <w:tl2br w:val="nil"/>
                    <w:tr2bl w:val="nil"/>
                  </w:tcBorders>
                  <w:noWrap w:val="0"/>
                  <w:vAlign w:val="center"/>
                </w:tcPr>
                <w:p w14:paraId="5904F2EC">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5.2</w:t>
                  </w:r>
                </w:p>
              </w:tc>
              <w:tc>
                <w:tcPr>
                  <w:tcW w:w="768" w:type="pct"/>
                  <w:tcBorders>
                    <w:tl2br w:val="nil"/>
                    <w:tr2bl w:val="nil"/>
                  </w:tcBorders>
                  <w:noWrap w:val="0"/>
                  <w:vAlign w:val="center"/>
                </w:tcPr>
                <w:p w14:paraId="52BC552D">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r>
                    <w:rPr>
                      <w:rFonts w:hint="eastAsia" w:cs="Times New Roman"/>
                      <w:b w:val="0"/>
                      <w:bCs w:val="0"/>
                      <w:color w:val="000000" w:themeColor="text1"/>
                      <w:sz w:val="21"/>
                      <w:szCs w:val="21"/>
                      <w:lang w:val="en-US" w:eastAsia="zh-CN"/>
                      <w14:textFill>
                        <w14:solidFill>
                          <w14:schemeClr w14:val="tx1"/>
                        </w14:solidFill>
                      </w14:textFill>
                    </w:rPr>
                    <w:t>.2</w:t>
                  </w:r>
                </w:p>
              </w:tc>
              <w:tc>
                <w:tcPr>
                  <w:tcW w:w="727" w:type="pct"/>
                  <w:tcBorders>
                    <w:tl2br w:val="nil"/>
                    <w:tr2bl w:val="nil"/>
                  </w:tcBorders>
                  <w:noWrap w:val="0"/>
                  <w:vAlign w:val="center"/>
                </w:tcPr>
                <w:p w14:paraId="501B39BD">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699" w:type="pct"/>
                  <w:tcBorders>
                    <w:tl2br w:val="nil"/>
                    <w:tr2bl w:val="nil"/>
                  </w:tcBorders>
                  <w:noWrap w:val="0"/>
                  <w:vAlign w:val="center"/>
                </w:tcPr>
                <w:p w14:paraId="61335FAF">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2C35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6" w:type="pct"/>
                  <w:vMerge w:val="continue"/>
                  <w:tcBorders>
                    <w:tl2br w:val="nil"/>
                    <w:tr2bl w:val="nil"/>
                  </w:tcBorders>
                  <w:noWrap w:val="0"/>
                  <w:vAlign w:val="center"/>
                </w:tcPr>
                <w:p w14:paraId="1DD1FA10">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804" w:type="pct"/>
                  <w:tcBorders>
                    <w:tl2br w:val="nil"/>
                    <w:tr2bl w:val="nil"/>
                  </w:tcBorders>
                  <w:noWrap w:val="0"/>
                  <w:vAlign w:val="center"/>
                </w:tcPr>
                <w:p w14:paraId="3FC6FF32">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自行处置量</w:t>
                  </w:r>
                </w:p>
              </w:tc>
              <w:tc>
                <w:tcPr>
                  <w:tcW w:w="907" w:type="pct"/>
                  <w:tcBorders>
                    <w:tl2br w:val="nil"/>
                    <w:tr2bl w:val="nil"/>
                  </w:tcBorders>
                  <w:noWrap w:val="0"/>
                  <w:vAlign w:val="center"/>
                </w:tcPr>
                <w:p w14:paraId="3A685596">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625" w:type="pct"/>
                  <w:tcBorders>
                    <w:tl2br w:val="nil"/>
                    <w:tr2bl w:val="nil"/>
                  </w:tcBorders>
                  <w:noWrap w:val="0"/>
                  <w:vAlign w:val="center"/>
                </w:tcPr>
                <w:p w14:paraId="3CEA771B">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768" w:type="pct"/>
                  <w:tcBorders>
                    <w:tl2br w:val="nil"/>
                    <w:tr2bl w:val="nil"/>
                  </w:tcBorders>
                  <w:noWrap w:val="0"/>
                  <w:vAlign w:val="center"/>
                </w:tcPr>
                <w:p w14:paraId="4DDBE6AA">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727" w:type="pct"/>
                  <w:tcBorders>
                    <w:tl2br w:val="nil"/>
                    <w:tr2bl w:val="nil"/>
                  </w:tcBorders>
                  <w:noWrap w:val="0"/>
                  <w:vAlign w:val="center"/>
                </w:tcPr>
                <w:p w14:paraId="4175F23E">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699" w:type="pct"/>
                  <w:tcBorders>
                    <w:tl2br w:val="nil"/>
                    <w:tr2bl w:val="nil"/>
                  </w:tcBorders>
                  <w:noWrap w:val="0"/>
                  <w:vAlign w:val="center"/>
                </w:tcPr>
                <w:p w14:paraId="5E39CB87">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0DAE0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6" w:type="pct"/>
                  <w:vMerge w:val="continue"/>
                  <w:tcBorders>
                    <w:tl2br w:val="nil"/>
                    <w:tr2bl w:val="nil"/>
                  </w:tcBorders>
                  <w:noWrap w:val="0"/>
                  <w:vAlign w:val="center"/>
                </w:tcPr>
                <w:p w14:paraId="66770FCB">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804" w:type="pct"/>
                  <w:tcBorders>
                    <w:tl2br w:val="nil"/>
                    <w:tr2bl w:val="nil"/>
                  </w:tcBorders>
                  <w:noWrap w:val="0"/>
                  <w:vAlign w:val="center"/>
                </w:tcPr>
                <w:p w14:paraId="65BFDA0F">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委托利用量</w:t>
                  </w:r>
                </w:p>
              </w:tc>
              <w:tc>
                <w:tcPr>
                  <w:tcW w:w="907" w:type="pct"/>
                  <w:tcBorders>
                    <w:tl2br w:val="nil"/>
                    <w:tr2bl w:val="nil"/>
                  </w:tcBorders>
                  <w:noWrap w:val="0"/>
                  <w:vAlign w:val="center"/>
                </w:tcPr>
                <w:p w14:paraId="58E22AA4">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625" w:type="pct"/>
                  <w:tcBorders>
                    <w:tl2br w:val="nil"/>
                    <w:tr2bl w:val="nil"/>
                  </w:tcBorders>
                  <w:noWrap w:val="0"/>
                  <w:vAlign w:val="center"/>
                </w:tcPr>
                <w:p w14:paraId="7BCDDC79">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768" w:type="pct"/>
                  <w:tcBorders>
                    <w:tl2br w:val="nil"/>
                    <w:tr2bl w:val="nil"/>
                  </w:tcBorders>
                  <w:noWrap w:val="0"/>
                  <w:vAlign w:val="center"/>
                </w:tcPr>
                <w:p w14:paraId="3CCBA6BC">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727" w:type="pct"/>
                  <w:tcBorders>
                    <w:tl2br w:val="nil"/>
                    <w:tr2bl w:val="nil"/>
                  </w:tcBorders>
                  <w:noWrap w:val="0"/>
                  <w:vAlign w:val="center"/>
                </w:tcPr>
                <w:p w14:paraId="3133FE48">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0.3</w:t>
                  </w:r>
                </w:p>
              </w:tc>
              <w:tc>
                <w:tcPr>
                  <w:tcW w:w="699" w:type="pct"/>
                  <w:tcBorders>
                    <w:tl2br w:val="nil"/>
                    <w:tr2bl w:val="nil"/>
                  </w:tcBorders>
                  <w:noWrap w:val="0"/>
                  <w:vAlign w:val="center"/>
                </w:tcPr>
                <w:p w14:paraId="675A6694">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0.11</w:t>
                  </w:r>
                </w:p>
              </w:tc>
            </w:tr>
            <w:tr w14:paraId="31447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6" w:type="pct"/>
                  <w:vMerge w:val="continue"/>
                  <w:tcBorders>
                    <w:tl2br w:val="nil"/>
                    <w:tr2bl w:val="nil"/>
                  </w:tcBorders>
                  <w:noWrap w:val="0"/>
                  <w:vAlign w:val="center"/>
                </w:tcPr>
                <w:p w14:paraId="4F88ADE6">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804" w:type="pct"/>
                  <w:tcBorders>
                    <w:tl2br w:val="nil"/>
                    <w:tr2bl w:val="nil"/>
                  </w:tcBorders>
                  <w:noWrap w:val="0"/>
                  <w:vAlign w:val="center"/>
                </w:tcPr>
                <w:p w14:paraId="67E9C55E">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委托处置量</w:t>
                  </w:r>
                </w:p>
              </w:tc>
              <w:tc>
                <w:tcPr>
                  <w:tcW w:w="907" w:type="pct"/>
                  <w:tcBorders>
                    <w:tl2br w:val="nil"/>
                    <w:tr2bl w:val="nil"/>
                  </w:tcBorders>
                  <w:noWrap w:val="0"/>
                  <w:vAlign w:val="center"/>
                </w:tcPr>
                <w:p w14:paraId="7F28DFDC">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1.32</w:t>
                  </w:r>
                </w:p>
              </w:tc>
              <w:tc>
                <w:tcPr>
                  <w:tcW w:w="625" w:type="pct"/>
                  <w:tcBorders>
                    <w:tl2br w:val="nil"/>
                    <w:tr2bl w:val="nil"/>
                  </w:tcBorders>
                  <w:noWrap w:val="0"/>
                  <w:vAlign w:val="center"/>
                </w:tcPr>
                <w:p w14:paraId="1A9DE164">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768" w:type="pct"/>
                  <w:tcBorders>
                    <w:tl2br w:val="nil"/>
                    <w:tr2bl w:val="nil"/>
                  </w:tcBorders>
                  <w:noWrap w:val="0"/>
                  <w:vAlign w:val="center"/>
                </w:tcPr>
                <w:p w14:paraId="18D3F478">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727" w:type="pct"/>
                  <w:tcBorders>
                    <w:tl2br w:val="nil"/>
                    <w:tr2bl w:val="nil"/>
                  </w:tcBorders>
                  <w:noWrap w:val="0"/>
                  <w:vAlign w:val="center"/>
                </w:tcPr>
                <w:p w14:paraId="69FECC23">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699" w:type="pct"/>
                  <w:tcBorders>
                    <w:tl2br w:val="nil"/>
                    <w:tr2bl w:val="nil"/>
                  </w:tcBorders>
                  <w:noWrap w:val="0"/>
                  <w:vAlign w:val="center"/>
                </w:tcPr>
                <w:p w14:paraId="44094A5B">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66678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66" w:type="pct"/>
                  <w:vMerge w:val="continue"/>
                  <w:tcBorders>
                    <w:tl2br w:val="nil"/>
                    <w:tr2bl w:val="nil"/>
                  </w:tcBorders>
                  <w:noWrap w:val="0"/>
                  <w:vAlign w:val="center"/>
                </w:tcPr>
                <w:p w14:paraId="685E4582">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804" w:type="pct"/>
                  <w:tcBorders>
                    <w:tl2br w:val="nil"/>
                    <w:tr2bl w:val="nil"/>
                  </w:tcBorders>
                  <w:noWrap w:val="0"/>
                  <w:vAlign w:val="center"/>
                </w:tcPr>
                <w:p w14:paraId="5600D103">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排放量</w:t>
                  </w:r>
                </w:p>
              </w:tc>
              <w:tc>
                <w:tcPr>
                  <w:tcW w:w="907" w:type="pct"/>
                  <w:tcBorders>
                    <w:tl2br w:val="nil"/>
                    <w:tr2bl w:val="nil"/>
                  </w:tcBorders>
                  <w:noWrap w:val="0"/>
                  <w:vAlign w:val="center"/>
                </w:tcPr>
                <w:p w14:paraId="2746594B">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625" w:type="pct"/>
                  <w:tcBorders>
                    <w:tl2br w:val="nil"/>
                    <w:tr2bl w:val="nil"/>
                  </w:tcBorders>
                  <w:noWrap w:val="0"/>
                  <w:vAlign w:val="center"/>
                </w:tcPr>
                <w:p w14:paraId="32EFE8B6">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768" w:type="pct"/>
                  <w:tcBorders>
                    <w:tl2br w:val="nil"/>
                    <w:tr2bl w:val="nil"/>
                  </w:tcBorders>
                  <w:noWrap w:val="0"/>
                  <w:vAlign w:val="center"/>
                </w:tcPr>
                <w:p w14:paraId="65D06D0A">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727" w:type="pct"/>
                  <w:tcBorders>
                    <w:tl2br w:val="nil"/>
                    <w:tr2bl w:val="nil"/>
                  </w:tcBorders>
                  <w:noWrap w:val="0"/>
                  <w:vAlign w:val="center"/>
                </w:tcPr>
                <w:p w14:paraId="02A5B97B">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699" w:type="pct"/>
                  <w:tcBorders>
                    <w:tl2br w:val="nil"/>
                    <w:tr2bl w:val="nil"/>
                  </w:tcBorders>
                  <w:noWrap w:val="0"/>
                  <w:vAlign w:val="center"/>
                </w:tcPr>
                <w:p w14:paraId="3257C05F">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6D38C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gridSpan w:val="2"/>
                  <w:tcBorders>
                    <w:tl2br w:val="nil"/>
                    <w:tr2bl w:val="nil"/>
                  </w:tcBorders>
                  <w:noWrap w:val="0"/>
                  <w:vAlign w:val="center"/>
                </w:tcPr>
                <w:p w14:paraId="2122486F">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委托单位名称</w:t>
                  </w:r>
                </w:p>
              </w:tc>
              <w:tc>
                <w:tcPr>
                  <w:tcW w:w="907" w:type="pct"/>
                  <w:tcBorders>
                    <w:tl2br w:val="nil"/>
                    <w:tr2bl w:val="nil"/>
                  </w:tcBorders>
                  <w:noWrap w:val="0"/>
                  <w:vAlign w:val="center"/>
                </w:tcPr>
                <w:p w14:paraId="20136360">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环卫部门清运</w:t>
                  </w:r>
                </w:p>
              </w:tc>
              <w:tc>
                <w:tcPr>
                  <w:tcW w:w="1394" w:type="pct"/>
                  <w:gridSpan w:val="2"/>
                  <w:tcBorders>
                    <w:tl2br w:val="nil"/>
                    <w:tr2bl w:val="nil"/>
                  </w:tcBorders>
                  <w:noWrap w:val="0"/>
                  <w:vAlign w:val="center"/>
                </w:tcPr>
                <w:p w14:paraId="564793EA">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回用于生产</w:t>
                  </w:r>
                </w:p>
              </w:tc>
              <w:tc>
                <w:tcPr>
                  <w:tcW w:w="727" w:type="pct"/>
                  <w:tcBorders>
                    <w:tl2br w:val="nil"/>
                    <w:tr2bl w:val="nil"/>
                  </w:tcBorders>
                  <w:noWrap w:val="0"/>
                  <w:vAlign w:val="center"/>
                </w:tcPr>
                <w:p w14:paraId="62C3EE62">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外售</w:t>
                  </w:r>
                </w:p>
              </w:tc>
              <w:tc>
                <w:tcPr>
                  <w:tcW w:w="699" w:type="pct"/>
                  <w:tcBorders>
                    <w:tl2br w:val="nil"/>
                    <w:tr2bl w:val="nil"/>
                  </w:tcBorders>
                  <w:noWrap w:val="0"/>
                  <w:vAlign w:val="center"/>
                </w:tcPr>
                <w:p w14:paraId="6491A108">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综合利用</w:t>
                  </w:r>
                </w:p>
              </w:tc>
            </w:tr>
          </w:tbl>
          <w:p w14:paraId="2649595C">
            <w:pPr>
              <w:keepNext w:val="0"/>
              <w:keepLines w:val="0"/>
              <w:pageBreakBefore w:val="0"/>
              <w:widowControl/>
              <w:kinsoku/>
              <w:wordWrap/>
              <w:overflowPunct/>
              <w:topLinePunct w:val="0"/>
              <w:autoSpaceDE/>
              <w:autoSpaceDN/>
              <w:bidi w:val="0"/>
              <w:spacing w:line="360" w:lineRule="auto"/>
              <w:jc w:val="center"/>
              <w:textAlignment w:val="auto"/>
              <w:rPr>
                <w:bCs/>
                <w:color w:val="auto"/>
                <w:kern w:val="0"/>
                <w:szCs w:val="21"/>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续</w:t>
            </w: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b/>
                <w:color w:val="000000" w:themeColor="text1"/>
                <w:sz w:val="21"/>
                <w:szCs w:val="21"/>
                <w14:textFill>
                  <w14:solidFill>
                    <w14:schemeClr w14:val="tx1"/>
                  </w14:solidFill>
                </w14:textFill>
              </w:rPr>
              <w:t xml:space="preserve">  固体废物产生情况及处理措施一览表</w:t>
            </w:r>
          </w:p>
          <w:tbl>
            <w:tblPr>
              <w:tblStyle w:val="22"/>
              <w:tblW w:w="48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804"/>
              <w:gridCol w:w="1661"/>
              <w:gridCol w:w="1515"/>
              <w:gridCol w:w="2053"/>
            </w:tblGrid>
            <w:tr w14:paraId="36876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604ED975">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名称</w:t>
                  </w:r>
                </w:p>
              </w:tc>
              <w:tc>
                <w:tcPr>
                  <w:tcW w:w="1028" w:type="pct"/>
                  <w:tcBorders>
                    <w:tl2br w:val="nil"/>
                    <w:tr2bl w:val="nil"/>
                  </w:tcBorders>
                  <w:noWrap w:val="0"/>
                  <w:vAlign w:val="center"/>
                </w:tcPr>
                <w:p w14:paraId="6A4CD541">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bCs/>
                      <w:color w:val="auto"/>
                      <w:szCs w:val="21"/>
                      <w:lang w:val="en-US" w:eastAsia="zh-CN"/>
                    </w:rPr>
                    <w:t>废机油</w:t>
                  </w:r>
                </w:p>
              </w:tc>
              <w:tc>
                <w:tcPr>
                  <w:tcW w:w="937" w:type="pct"/>
                  <w:tcBorders>
                    <w:tl2br w:val="nil"/>
                    <w:tr2bl w:val="nil"/>
                  </w:tcBorders>
                  <w:noWrap w:val="0"/>
                  <w:vAlign w:val="center"/>
                </w:tcPr>
                <w:p w14:paraId="071984BF">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szCs w:val="21"/>
                      <w:lang w:val="en-US" w:eastAsia="zh-CN"/>
                    </w:rPr>
                    <w:t>废油桶</w:t>
                  </w:r>
                </w:p>
              </w:tc>
              <w:tc>
                <w:tcPr>
                  <w:tcW w:w="1270" w:type="pct"/>
                  <w:tcBorders>
                    <w:tl2br w:val="nil"/>
                    <w:tr2bl w:val="nil"/>
                  </w:tcBorders>
                  <w:noWrap w:val="0"/>
                  <w:vAlign w:val="center"/>
                </w:tcPr>
                <w:p w14:paraId="22C3C0D5">
                  <w:pPr>
                    <w:pStyle w:val="18"/>
                    <w:ind w:left="0" w:leftChars="0"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szCs w:val="21"/>
                      <w:lang w:val="en-US" w:eastAsia="zh-CN"/>
                    </w:rPr>
                    <w:t>废含油抹布手套</w:t>
                  </w:r>
                </w:p>
              </w:tc>
            </w:tr>
            <w:tr w14:paraId="0DB56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2D2C454A">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产生环节</w:t>
                  </w:r>
                </w:p>
              </w:tc>
              <w:tc>
                <w:tcPr>
                  <w:tcW w:w="3236" w:type="pct"/>
                  <w:gridSpan w:val="3"/>
                  <w:tcBorders>
                    <w:tl2br w:val="nil"/>
                    <w:tr2bl w:val="nil"/>
                  </w:tcBorders>
                  <w:noWrap w:val="0"/>
                  <w:vAlign w:val="center"/>
                </w:tcPr>
                <w:p w14:paraId="0842E5E4">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auto"/>
                      <w:szCs w:val="21"/>
                      <w:lang w:val="en-US" w:eastAsia="zh-CN"/>
                    </w:rPr>
                    <w:t>维护保养过程</w:t>
                  </w:r>
                </w:p>
              </w:tc>
            </w:tr>
            <w:tr w14:paraId="4D6C9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79C8EA8B">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属性</w:t>
                  </w:r>
                </w:p>
              </w:tc>
              <w:tc>
                <w:tcPr>
                  <w:tcW w:w="3236" w:type="pct"/>
                  <w:gridSpan w:val="3"/>
                  <w:tcBorders>
                    <w:tl2br w:val="nil"/>
                    <w:tr2bl w:val="nil"/>
                  </w:tcBorders>
                  <w:noWrap w:val="0"/>
                  <w:vAlign w:val="center"/>
                </w:tcPr>
                <w:p w14:paraId="7946B5D1">
                  <w:pPr>
                    <w:adjustRightInd w:val="0"/>
                    <w:snapToGrid w:val="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b w:val="0"/>
                      <w:bCs w:val="0"/>
                      <w:color w:val="auto"/>
                      <w:kern w:val="0"/>
                      <w:szCs w:val="21"/>
                    </w:rPr>
                    <w:t>危险废物</w:t>
                  </w:r>
                </w:p>
              </w:tc>
            </w:tr>
            <w:tr w14:paraId="4B66B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53F78A3D">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废物</w:t>
                  </w:r>
                  <w:r>
                    <w:rPr>
                      <w:rFonts w:hint="default" w:ascii="Times New Roman" w:hAnsi="Times New Roman" w:cs="Times New Roman"/>
                      <w:bCs/>
                      <w:color w:val="000000" w:themeColor="text1"/>
                      <w:sz w:val="21"/>
                      <w:szCs w:val="21"/>
                      <w:lang w:val="en-US"/>
                      <w14:textFill>
                        <w14:solidFill>
                          <w14:schemeClr w14:val="tx1"/>
                        </w14:solidFill>
                      </w14:textFill>
                    </w:rPr>
                    <w:t>类别及</w:t>
                  </w:r>
                  <w:r>
                    <w:rPr>
                      <w:rFonts w:hint="default" w:ascii="Times New Roman" w:hAnsi="Times New Roman" w:cs="Times New Roman"/>
                      <w:bCs/>
                      <w:color w:val="000000" w:themeColor="text1"/>
                      <w:sz w:val="21"/>
                      <w:szCs w:val="21"/>
                      <w14:textFill>
                        <w14:solidFill>
                          <w14:schemeClr w14:val="tx1"/>
                        </w14:solidFill>
                      </w14:textFill>
                    </w:rPr>
                    <w:t>代码</w:t>
                  </w:r>
                </w:p>
              </w:tc>
              <w:tc>
                <w:tcPr>
                  <w:tcW w:w="1028" w:type="pct"/>
                  <w:tcBorders>
                    <w:tl2br w:val="nil"/>
                    <w:tr2bl w:val="nil"/>
                  </w:tcBorders>
                  <w:noWrap w:val="0"/>
                  <w:vAlign w:val="center"/>
                </w:tcPr>
                <w:p w14:paraId="68F30104">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ascii="Times New Roman" w:hAnsi="Times New Roman"/>
                      <w:bCs/>
                      <w:color w:val="auto"/>
                      <w:szCs w:val="21"/>
                    </w:rPr>
                    <w:t>900-</w:t>
                  </w:r>
                  <w:r>
                    <w:rPr>
                      <w:rFonts w:hint="eastAsia" w:ascii="Times New Roman" w:hAnsi="Times New Roman"/>
                      <w:bCs/>
                      <w:color w:val="auto"/>
                      <w:szCs w:val="21"/>
                    </w:rPr>
                    <w:t>249</w:t>
                  </w:r>
                  <w:r>
                    <w:rPr>
                      <w:rFonts w:ascii="Times New Roman" w:hAnsi="Times New Roman"/>
                      <w:bCs/>
                      <w:color w:val="auto"/>
                      <w:szCs w:val="21"/>
                    </w:rPr>
                    <w:t>-08</w:t>
                  </w:r>
                </w:p>
              </w:tc>
              <w:tc>
                <w:tcPr>
                  <w:tcW w:w="937" w:type="pct"/>
                  <w:tcBorders>
                    <w:tl2br w:val="nil"/>
                    <w:tr2bl w:val="nil"/>
                  </w:tcBorders>
                  <w:noWrap w:val="0"/>
                  <w:vAlign w:val="center"/>
                </w:tcPr>
                <w:p w14:paraId="2731135A">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ascii="Times New Roman" w:hAnsi="Times New Roman"/>
                      <w:bCs/>
                      <w:color w:val="auto"/>
                      <w:szCs w:val="21"/>
                    </w:rPr>
                    <w:t>900-</w:t>
                  </w:r>
                  <w:r>
                    <w:rPr>
                      <w:rFonts w:hint="eastAsia" w:ascii="Times New Roman" w:hAnsi="Times New Roman"/>
                      <w:bCs/>
                      <w:color w:val="auto"/>
                      <w:szCs w:val="21"/>
                    </w:rPr>
                    <w:t>249</w:t>
                  </w:r>
                  <w:r>
                    <w:rPr>
                      <w:rFonts w:ascii="Times New Roman" w:hAnsi="Times New Roman"/>
                      <w:bCs/>
                      <w:color w:val="auto"/>
                      <w:szCs w:val="21"/>
                    </w:rPr>
                    <w:t>-08</w:t>
                  </w:r>
                </w:p>
              </w:tc>
              <w:tc>
                <w:tcPr>
                  <w:tcW w:w="1270" w:type="pct"/>
                  <w:tcBorders>
                    <w:tl2br w:val="nil"/>
                    <w:tr2bl w:val="nil"/>
                  </w:tcBorders>
                  <w:noWrap w:val="0"/>
                  <w:vAlign w:val="center"/>
                </w:tcPr>
                <w:p w14:paraId="28DBFA69">
                  <w:pPr>
                    <w:pStyle w:val="18"/>
                    <w:ind w:left="0" w:leftChars="0" w:firstLine="0" w:firstLineChars="0"/>
                    <w:jc w:val="center"/>
                    <w:rPr>
                      <w:rFonts w:hint="default" w:ascii="Times New Roman" w:hAnsi="Times New Roman" w:eastAsia="宋体" w:cs="Times New Roman"/>
                      <w:b w:val="0"/>
                      <w:bCs w:val="0"/>
                      <w:color w:val="000000" w:themeColor="text1"/>
                      <w:szCs w:val="21"/>
                      <w14:textFill>
                        <w14:solidFill>
                          <w14:schemeClr w14:val="tx1"/>
                        </w14:solidFill>
                      </w14:textFill>
                    </w:rPr>
                  </w:pPr>
                  <w:r>
                    <w:rPr>
                      <w:rFonts w:hint="eastAsia" w:ascii="Times New Roman" w:hAnsi="Times New Roman"/>
                      <w:bCs/>
                      <w:color w:val="auto"/>
                      <w:szCs w:val="21"/>
                    </w:rPr>
                    <w:t>900-041-49</w:t>
                  </w:r>
                </w:p>
              </w:tc>
            </w:tr>
            <w:tr w14:paraId="79D06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20EBC5F4">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有毒有害物质名称</w:t>
                  </w:r>
                </w:p>
              </w:tc>
              <w:tc>
                <w:tcPr>
                  <w:tcW w:w="1028" w:type="pct"/>
                  <w:tcBorders>
                    <w:tl2br w:val="nil"/>
                    <w:tr2bl w:val="nil"/>
                  </w:tcBorders>
                  <w:noWrap w:val="0"/>
                  <w:vAlign w:val="center"/>
                </w:tcPr>
                <w:p w14:paraId="4D63ADEF">
                  <w:pPr>
                    <w:pStyle w:val="51"/>
                    <w:adjustRightInd w:val="0"/>
                    <w:snapToGrid w:val="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易燃</w:t>
                  </w:r>
                </w:p>
              </w:tc>
              <w:tc>
                <w:tcPr>
                  <w:tcW w:w="937" w:type="pct"/>
                  <w:tcBorders>
                    <w:tl2br w:val="nil"/>
                    <w:tr2bl w:val="nil"/>
                  </w:tcBorders>
                  <w:noWrap w:val="0"/>
                  <w:vAlign w:val="center"/>
                </w:tcPr>
                <w:p w14:paraId="62A04AC9">
                  <w:pPr>
                    <w:pStyle w:val="51"/>
                    <w:adjustRightInd w:val="0"/>
                    <w:snapToGrid w:val="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易燃</w:t>
                  </w:r>
                </w:p>
              </w:tc>
              <w:tc>
                <w:tcPr>
                  <w:tcW w:w="1270" w:type="pct"/>
                  <w:tcBorders>
                    <w:tl2br w:val="nil"/>
                    <w:tr2bl w:val="nil"/>
                  </w:tcBorders>
                  <w:noWrap w:val="0"/>
                  <w:vAlign w:val="center"/>
                </w:tcPr>
                <w:p w14:paraId="06D77FE9">
                  <w:pPr>
                    <w:pStyle w:val="51"/>
                    <w:adjustRightInd w:val="0"/>
                    <w:snapToGrid w:val="0"/>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易燃</w:t>
                  </w:r>
                </w:p>
              </w:tc>
            </w:tr>
            <w:tr w14:paraId="27964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6C7E36BF">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物理性状</w:t>
                  </w:r>
                </w:p>
              </w:tc>
              <w:tc>
                <w:tcPr>
                  <w:tcW w:w="1028" w:type="pct"/>
                  <w:tcBorders>
                    <w:tl2br w:val="nil"/>
                    <w:tr2bl w:val="nil"/>
                  </w:tcBorders>
                  <w:noWrap w:val="0"/>
                  <w:vAlign w:val="center"/>
                </w:tcPr>
                <w:p w14:paraId="264B0D6B">
                  <w:pPr>
                    <w:pStyle w:val="51"/>
                    <w:adjustRightInd w:val="0"/>
                    <w:snapToGrid w:val="0"/>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eastAsia"/>
                      <w:b w:val="0"/>
                      <w:bCs/>
                      <w:color w:val="auto"/>
                      <w:sz w:val="21"/>
                      <w:szCs w:val="21"/>
                      <w:lang w:val="en-US" w:eastAsia="zh-CN"/>
                    </w:rPr>
                    <w:t>液态</w:t>
                  </w:r>
                </w:p>
              </w:tc>
              <w:tc>
                <w:tcPr>
                  <w:tcW w:w="937" w:type="pct"/>
                  <w:tcBorders>
                    <w:tl2br w:val="nil"/>
                    <w:tr2bl w:val="nil"/>
                  </w:tcBorders>
                  <w:noWrap w:val="0"/>
                  <w:vAlign w:val="center"/>
                </w:tcPr>
                <w:p w14:paraId="2C17A8DE">
                  <w:pPr>
                    <w:pStyle w:val="51"/>
                    <w:adjustRightInd w:val="0"/>
                    <w:snapToGrid w:val="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固态</w:t>
                  </w:r>
                </w:p>
              </w:tc>
              <w:tc>
                <w:tcPr>
                  <w:tcW w:w="1270" w:type="pct"/>
                  <w:tcBorders>
                    <w:tl2br w:val="nil"/>
                    <w:tr2bl w:val="nil"/>
                  </w:tcBorders>
                  <w:noWrap w:val="0"/>
                  <w:vAlign w:val="center"/>
                </w:tcPr>
                <w:p w14:paraId="71E3DF1C">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固液混合</w:t>
                  </w:r>
                </w:p>
              </w:tc>
            </w:tr>
            <w:tr w14:paraId="568A7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0FE1743C">
                  <w:pPr>
                    <w:pStyle w:val="51"/>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环境危险特性</w:t>
                  </w:r>
                </w:p>
              </w:tc>
              <w:tc>
                <w:tcPr>
                  <w:tcW w:w="1028" w:type="pct"/>
                  <w:tcBorders>
                    <w:tl2br w:val="nil"/>
                    <w:tr2bl w:val="nil"/>
                  </w:tcBorders>
                  <w:noWrap w:val="0"/>
                  <w:vAlign w:val="center"/>
                </w:tcPr>
                <w:p w14:paraId="441B4D04">
                  <w:pPr>
                    <w:pStyle w:val="51"/>
                    <w:adjustRightInd w:val="0"/>
                    <w:snapToGrid w:val="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T</w:t>
                  </w:r>
                </w:p>
              </w:tc>
              <w:tc>
                <w:tcPr>
                  <w:tcW w:w="937" w:type="pct"/>
                  <w:tcBorders>
                    <w:tl2br w:val="nil"/>
                    <w:tr2bl w:val="nil"/>
                  </w:tcBorders>
                  <w:noWrap w:val="0"/>
                  <w:vAlign w:val="center"/>
                </w:tcPr>
                <w:p w14:paraId="094C6ADD">
                  <w:pPr>
                    <w:pStyle w:val="51"/>
                    <w:adjustRightInd w:val="0"/>
                    <w:snapToGrid w:val="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b w:val="0"/>
                      <w:bCs/>
                      <w:color w:val="auto"/>
                      <w:sz w:val="21"/>
                      <w:szCs w:val="21"/>
                      <w:lang w:val="en-US" w:eastAsia="zh-CN"/>
                    </w:rPr>
                    <w:t>T/I</w:t>
                  </w:r>
                </w:p>
              </w:tc>
              <w:tc>
                <w:tcPr>
                  <w:tcW w:w="1270" w:type="pct"/>
                  <w:tcBorders>
                    <w:tl2br w:val="nil"/>
                    <w:tr2bl w:val="nil"/>
                  </w:tcBorders>
                  <w:noWrap w:val="0"/>
                  <w:vAlign w:val="center"/>
                </w:tcPr>
                <w:p w14:paraId="5C41DC98">
                  <w:pPr>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b w:val="0"/>
                      <w:bCs/>
                      <w:color w:val="auto"/>
                      <w:sz w:val="21"/>
                      <w:szCs w:val="21"/>
                      <w:lang w:val="en-US" w:eastAsia="zh-CN"/>
                    </w:rPr>
                    <w:t>T</w:t>
                  </w:r>
                </w:p>
              </w:tc>
            </w:tr>
            <w:tr w14:paraId="39204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74FBBB7E">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产生量（t/a）</w:t>
                  </w:r>
                </w:p>
              </w:tc>
              <w:tc>
                <w:tcPr>
                  <w:tcW w:w="1028" w:type="pct"/>
                  <w:tcBorders>
                    <w:tl2br w:val="nil"/>
                    <w:tr2bl w:val="nil"/>
                  </w:tcBorders>
                  <w:noWrap w:val="0"/>
                  <w:vAlign w:val="center"/>
                </w:tcPr>
                <w:p w14:paraId="7BA5155E">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kern w:val="0"/>
                      <w:szCs w:val="21"/>
                      <w:lang w:val="en-US" w:eastAsia="zh-CN"/>
                    </w:rPr>
                    <w:t>0.015</w:t>
                  </w:r>
                </w:p>
              </w:tc>
              <w:tc>
                <w:tcPr>
                  <w:tcW w:w="937" w:type="pct"/>
                  <w:tcBorders>
                    <w:tl2br w:val="nil"/>
                    <w:tr2bl w:val="nil"/>
                  </w:tcBorders>
                  <w:noWrap w:val="0"/>
                  <w:vAlign w:val="center"/>
                </w:tcPr>
                <w:p w14:paraId="4524E116">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kern w:val="0"/>
                      <w:szCs w:val="21"/>
                      <w:lang w:val="en-US" w:eastAsia="zh-CN"/>
                    </w:rPr>
                    <w:t>0.005</w:t>
                  </w:r>
                </w:p>
              </w:tc>
              <w:tc>
                <w:tcPr>
                  <w:tcW w:w="1270" w:type="pct"/>
                  <w:tcBorders>
                    <w:tl2br w:val="nil"/>
                    <w:tr2bl w:val="nil"/>
                  </w:tcBorders>
                  <w:noWrap w:val="0"/>
                  <w:vAlign w:val="center"/>
                </w:tcPr>
                <w:p w14:paraId="4587EB0B">
                  <w:pPr>
                    <w:pStyle w:val="18"/>
                    <w:ind w:left="0" w:leftChars="0"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kern w:val="0"/>
                      <w:szCs w:val="21"/>
                      <w:lang w:val="en-US" w:eastAsia="zh-CN"/>
                    </w:rPr>
                    <w:t>0.03</w:t>
                  </w:r>
                </w:p>
              </w:tc>
            </w:tr>
            <w:tr w14:paraId="42FB2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6598D0AD">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贮存方式</w:t>
                  </w:r>
                </w:p>
              </w:tc>
              <w:tc>
                <w:tcPr>
                  <w:tcW w:w="1028" w:type="pct"/>
                  <w:tcBorders>
                    <w:tl2br w:val="nil"/>
                    <w:tr2bl w:val="nil"/>
                  </w:tcBorders>
                  <w:noWrap w:val="0"/>
                  <w:vAlign w:val="center"/>
                </w:tcPr>
                <w:p w14:paraId="25ED3F5D">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桶装</w:t>
                  </w:r>
                </w:p>
              </w:tc>
              <w:tc>
                <w:tcPr>
                  <w:tcW w:w="937" w:type="pct"/>
                  <w:tcBorders>
                    <w:tl2br w:val="nil"/>
                    <w:tr2bl w:val="nil"/>
                  </w:tcBorders>
                  <w:noWrap w:val="0"/>
                  <w:vAlign w:val="center"/>
                </w:tcPr>
                <w:p w14:paraId="46225BD8">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码垛</w:t>
                  </w:r>
                </w:p>
              </w:tc>
              <w:tc>
                <w:tcPr>
                  <w:tcW w:w="1270" w:type="pct"/>
                  <w:tcBorders>
                    <w:tl2br w:val="nil"/>
                    <w:tr2bl w:val="nil"/>
                  </w:tcBorders>
                  <w:noWrap w:val="0"/>
                  <w:vAlign w:val="center"/>
                </w:tcPr>
                <w:p w14:paraId="5C2E0546">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桶装</w:t>
                  </w:r>
                </w:p>
              </w:tc>
            </w:tr>
            <w:tr w14:paraId="66AAF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restart"/>
                  <w:tcBorders>
                    <w:tl2br w:val="nil"/>
                    <w:tr2bl w:val="nil"/>
                  </w:tcBorders>
                  <w:noWrap w:val="0"/>
                  <w:vAlign w:val="center"/>
                </w:tcPr>
                <w:p w14:paraId="59E63CA4">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利用处置方式和去向</w:t>
                  </w:r>
                  <w:r>
                    <w:rPr>
                      <w:rFonts w:hint="default" w:ascii="Times New Roman" w:hAnsi="Times New Roman" w:cs="Times New Roman"/>
                      <w:bCs/>
                      <w:color w:val="000000" w:themeColor="text1"/>
                      <w:sz w:val="21"/>
                      <w:szCs w:val="21"/>
                      <w14:textFill>
                        <w14:solidFill>
                          <w14:schemeClr w14:val="tx1"/>
                        </w14:solidFill>
                      </w14:textFill>
                    </w:rPr>
                    <w:t>（t/a）</w:t>
                  </w:r>
                </w:p>
              </w:tc>
              <w:tc>
                <w:tcPr>
                  <w:tcW w:w="1116" w:type="pct"/>
                  <w:tcBorders>
                    <w:tl2br w:val="nil"/>
                    <w:tr2bl w:val="nil"/>
                  </w:tcBorders>
                  <w:noWrap w:val="0"/>
                  <w:vAlign w:val="center"/>
                </w:tcPr>
                <w:p w14:paraId="32331823">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自行贮存量</w:t>
                  </w:r>
                </w:p>
              </w:tc>
              <w:tc>
                <w:tcPr>
                  <w:tcW w:w="1028" w:type="pct"/>
                  <w:tcBorders>
                    <w:tl2br w:val="nil"/>
                    <w:tr2bl w:val="nil"/>
                  </w:tcBorders>
                  <w:noWrap w:val="0"/>
                  <w:vAlign w:val="center"/>
                </w:tcPr>
                <w:p w14:paraId="6008D3AC">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937" w:type="pct"/>
                  <w:tcBorders>
                    <w:tl2br w:val="nil"/>
                    <w:tr2bl w:val="nil"/>
                  </w:tcBorders>
                  <w:noWrap w:val="0"/>
                  <w:vAlign w:val="center"/>
                </w:tcPr>
                <w:p w14:paraId="7FFB2372">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1270" w:type="pct"/>
                  <w:tcBorders>
                    <w:tl2br w:val="nil"/>
                    <w:tr2bl w:val="nil"/>
                  </w:tcBorders>
                  <w:noWrap w:val="0"/>
                  <w:vAlign w:val="center"/>
                </w:tcPr>
                <w:p w14:paraId="6D02E242">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0F7C3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tcBorders>
                    <w:tl2br w:val="nil"/>
                    <w:tr2bl w:val="nil"/>
                  </w:tcBorders>
                  <w:noWrap w:val="0"/>
                  <w:vAlign w:val="center"/>
                </w:tcPr>
                <w:p w14:paraId="1837B28D">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1116" w:type="pct"/>
                  <w:tcBorders>
                    <w:tl2br w:val="nil"/>
                    <w:tr2bl w:val="nil"/>
                  </w:tcBorders>
                  <w:noWrap w:val="0"/>
                  <w:vAlign w:val="center"/>
                </w:tcPr>
                <w:p w14:paraId="571518D4">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自行利用量</w:t>
                  </w:r>
                </w:p>
              </w:tc>
              <w:tc>
                <w:tcPr>
                  <w:tcW w:w="1028" w:type="pct"/>
                  <w:tcBorders>
                    <w:tl2br w:val="nil"/>
                    <w:tr2bl w:val="nil"/>
                  </w:tcBorders>
                  <w:noWrap w:val="0"/>
                  <w:vAlign w:val="center"/>
                </w:tcPr>
                <w:p w14:paraId="5E604077">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937" w:type="pct"/>
                  <w:tcBorders>
                    <w:tl2br w:val="nil"/>
                    <w:tr2bl w:val="nil"/>
                  </w:tcBorders>
                  <w:noWrap w:val="0"/>
                  <w:vAlign w:val="center"/>
                </w:tcPr>
                <w:p w14:paraId="07B7A45F">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1270" w:type="pct"/>
                  <w:tcBorders>
                    <w:tl2br w:val="nil"/>
                    <w:tr2bl w:val="nil"/>
                  </w:tcBorders>
                  <w:noWrap w:val="0"/>
                  <w:vAlign w:val="center"/>
                </w:tcPr>
                <w:p w14:paraId="42D2CC2D">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3EF3C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tcBorders>
                    <w:tl2br w:val="nil"/>
                    <w:tr2bl w:val="nil"/>
                  </w:tcBorders>
                  <w:noWrap w:val="0"/>
                  <w:vAlign w:val="center"/>
                </w:tcPr>
                <w:p w14:paraId="389F2005">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1116" w:type="pct"/>
                  <w:tcBorders>
                    <w:tl2br w:val="nil"/>
                    <w:tr2bl w:val="nil"/>
                  </w:tcBorders>
                  <w:noWrap w:val="0"/>
                  <w:vAlign w:val="center"/>
                </w:tcPr>
                <w:p w14:paraId="40BDF840">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自行处置量</w:t>
                  </w:r>
                </w:p>
              </w:tc>
              <w:tc>
                <w:tcPr>
                  <w:tcW w:w="1028" w:type="pct"/>
                  <w:tcBorders>
                    <w:tl2br w:val="nil"/>
                    <w:tr2bl w:val="nil"/>
                  </w:tcBorders>
                  <w:noWrap w:val="0"/>
                  <w:vAlign w:val="center"/>
                </w:tcPr>
                <w:p w14:paraId="2C0539CA">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937" w:type="pct"/>
                  <w:tcBorders>
                    <w:tl2br w:val="nil"/>
                    <w:tr2bl w:val="nil"/>
                  </w:tcBorders>
                  <w:noWrap w:val="0"/>
                  <w:vAlign w:val="center"/>
                </w:tcPr>
                <w:p w14:paraId="25D4DA1A">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1270" w:type="pct"/>
                  <w:tcBorders>
                    <w:tl2br w:val="nil"/>
                    <w:tr2bl w:val="nil"/>
                  </w:tcBorders>
                  <w:noWrap w:val="0"/>
                  <w:vAlign w:val="center"/>
                </w:tcPr>
                <w:p w14:paraId="17DD1B03">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41A98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tcBorders>
                    <w:tl2br w:val="nil"/>
                    <w:tr2bl w:val="nil"/>
                  </w:tcBorders>
                  <w:noWrap w:val="0"/>
                  <w:vAlign w:val="center"/>
                </w:tcPr>
                <w:p w14:paraId="0187C27E">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1116" w:type="pct"/>
                  <w:tcBorders>
                    <w:tl2br w:val="nil"/>
                    <w:tr2bl w:val="nil"/>
                  </w:tcBorders>
                  <w:noWrap w:val="0"/>
                  <w:vAlign w:val="center"/>
                </w:tcPr>
                <w:p w14:paraId="6ED0D02B">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委托利用量</w:t>
                  </w:r>
                </w:p>
              </w:tc>
              <w:tc>
                <w:tcPr>
                  <w:tcW w:w="1028" w:type="pct"/>
                  <w:tcBorders>
                    <w:tl2br w:val="nil"/>
                    <w:tr2bl w:val="nil"/>
                  </w:tcBorders>
                  <w:noWrap w:val="0"/>
                  <w:vAlign w:val="center"/>
                </w:tcPr>
                <w:p w14:paraId="0FD044E1">
                  <w:pPr>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0</w:t>
                  </w:r>
                </w:p>
              </w:tc>
              <w:tc>
                <w:tcPr>
                  <w:tcW w:w="937" w:type="pct"/>
                  <w:tcBorders>
                    <w:tl2br w:val="nil"/>
                    <w:tr2bl w:val="nil"/>
                  </w:tcBorders>
                  <w:noWrap w:val="0"/>
                  <w:vAlign w:val="center"/>
                </w:tcPr>
                <w:p w14:paraId="3A0FAD7D">
                  <w:pPr>
                    <w:pStyle w:val="51"/>
                    <w:adjustRightInd w:val="0"/>
                    <w:snapToGrid w:val="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1270" w:type="pct"/>
                  <w:tcBorders>
                    <w:tl2br w:val="nil"/>
                    <w:tr2bl w:val="nil"/>
                  </w:tcBorders>
                  <w:noWrap w:val="0"/>
                  <w:vAlign w:val="center"/>
                </w:tcPr>
                <w:p w14:paraId="1E9BBCDA">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w:t>
                  </w:r>
                </w:p>
              </w:tc>
            </w:tr>
            <w:tr w14:paraId="2CAEB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tcBorders>
                    <w:tl2br w:val="nil"/>
                    <w:tr2bl w:val="nil"/>
                  </w:tcBorders>
                  <w:noWrap w:val="0"/>
                  <w:vAlign w:val="center"/>
                </w:tcPr>
                <w:p w14:paraId="45D3D752">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1116" w:type="pct"/>
                  <w:tcBorders>
                    <w:tl2br w:val="nil"/>
                    <w:tr2bl w:val="nil"/>
                  </w:tcBorders>
                  <w:noWrap w:val="0"/>
                  <w:vAlign w:val="center"/>
                </w:tcPr>
                <w:p w14:paraId="385AF980">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委托处置量</w:t>
                  </w:r>
                </w:p>
              </w:tc>
              <w:tc>
                <w:tcPr>
                  <w:tcW w:w="1028" w:type="pct"/>
                  <w:tcBorders>
                    <w:tl2br w:val="nil"/>
                    <w:tr2bl w:val="nil"/>
                  </w:tcBorders>
                  <w:noWrap w:val="0"/>
                  <w:vAlign w:val="center"/>
                </w:tcPr>
                <w:p w14:paraId="47BA42C7">
                  <w:pPr>
                    <w:pStyle w:val="18"/>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kern w:val="0"/>
                      <w:szCs w:val="21"/>
                      <w:lang w:val="en-US" w:eastAsia="zh-CN"/>
                    </w:rPr>
                    <w:t>0.015</w:t>
                  </w:r>
                </w:p>
              </w:tc>
              <w:tc>
                <w:tcPr>
                  <w:tcW w:w="937" w:type="pct"/>
                  <w:tcBorders>
                    <w:tl2br w:val="nil"/>
                    <w:tr2bl w:val="nil"/>
                  </w:tcBorders>
                  <w:noWrap w:val="0"/>
                  <w:vAlign w:val="center"/>
                </w:tcPr>
                <w:p w14:paraId="0ECD2DC4">
                  <w:pPr>
                    <w:pStyle w:val="18"/>
                    <w:ind w:left="0" w:leftChars="0" w:firstLine="0" w:firstLineChars="0"/>
                    <w:jc w:val="center"/>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eastAsia" w:ascii="Times New Roman" w:hAnsi="Times New Roman"/>
                      <w:bCs/>
                      <w:color w:val="auto"/>
                      <w:kern w:val="0"/>
                      <w:szCs w:val="21"/>
                      <w:lang w:val="en-US" w:eastAsia="zh-CN"/>
                    </w:rPr>
                    <w:t>0.005</w:t>
                  </w:r>
                </w:p>
              </w:tc>
              <w:tc>
                <w:tcPr>
                  <w:tcW w:w="1270" w:type="pct"/>
                  <w:tcBorders>
                    <w:tl2br w:val="nil"/>
                    <w:tr2bl w:val="nil"/>
                  </w:tcBorders>
                  <w:noWrap w:val="0"/>
                  <w:vAlign w:val="center"/>
                </w:tcPr>
                <w:p w14:paraId="55D0EEE5">
                  <w:pPr>
                    <w:pStyle w:val="18"/>
                    <w:ind w:left="0" w:leftChars="0"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Cs/>
                      <w:color w:val="auto"/>
                      <w:kern w:val="0"/>
                      <w:szCs w:val="21"/>
                      <w:lang w:val="en-US" w:eastAsia="zh-CN"/>
                    </w:rPr>
                    <w:t>0.03</w:t>
                  </w:r>
                </w:p>
              </w:tc>
            </w:tr>
            <w:tr w14:paraId="4B388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vMerge w:val="continue"/>
                  <w:tcBorders>
                    <w:tl2br w:val="nil"/>
                    <w:tr2bl w:val="nil"/>
                  </w:tcBorders>
                  <w:noWrap w:val="0"/>
                  <w:vAlign w:val="center"/>
                </w:tcPr>
                <w:p w14:paraId="4632AEFD">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p>
              </w:tc>
              <w:tc>
                <w:tcPr>
                  <w:tcW w:w="1116" w:type="pct"/>
                  <w:tcBorders>
                    <w:tl2br w:val="nil"/>
                    <w:tr2bl w:val="nil"/>
                  </w:tcBorders>
                  <w:noWrap w:val="0"/>
                  <w:vAlign w:val="center"/>
                </w:tcPr>
                <w:p w14:paraId="50A6B21D">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排放量</w:t>
                  </w:r>
                </w:p>
              </w:tc>
              <w:tc>
                <w:tcPr>
                  <w:tcW w:w="1028" w:type="pct"/>
                  <w:tcBorders>
                    <w:tl2br w:val="nil"/>
                    <w:tr2bl w:val="nil"/>
                  </w:tcBorders>
                  <w:noWrap w:val="0"/>
                  <w:vAlign w:val="center"/>
                </w:tcPr>
                <w:p w14:paraId="1C38D012">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937" w:type="pct"/>
                  <w:tcBorders>
                    <w:tl2br w:val="nil"/>
                    <w:tr2bl w:val="nil"/>
                  </w:tcBorders>
                  <w:noWrap w:val="0"/>
                  <w:vAlign w:val="center"/>
                </w:tcPr>
                <w:p w14:paraId="6E1A6359">
                  <w:pPr>
                    <w:pStyle w:val="51"/>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w:t>
                  </w:r>
                </w:p>
              </w:tc>
              <w:tc>
                <w:tcPr>
                  <w:tcW w:w="1270" w:type="pct"/>
                  <w:tcBorders>
                    <w:tl2br w:val="nil"/>
                    <w:tr2bl w:val="nil"/>
                  </w:tcBorders>
                  <w:noWrap w:val="0"/>
                  <w:vAlign w:val="center"/>
                </w:tcPr>
                <w:p w14:paraId="3F726D01">
                  <w:pPr>
                    <w:pStyle w:val="51"/>
                    <w:adjustRightInd w:val="0"/>
                    <w:snapToGrid w:val="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p>
              </w:tc>
            </w:tr>
            <w:tr w14:paraId="2309A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pct"/>
                  <w:gridSpan w:val="2"/>
                  <w:tcBorders>
                    <w:tl2br w:val="nil"/>
                    <w:tr2bl w:val="nil"/>
                  </w:tcBorders>
                  <w:noWrap w:val="0"/>
                  <w:vAlign w:val="center"/>
                </w:tcPr>
                <w:p w14:paraId="20AABB03">
                  <w:pPr>
                    <w:pStyle w:val="51"/>
                    <w:adjustRightInd w:val="0"/>
                    <w:snapToGrid w:val="0"/>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lang w:val="en-US"/>
                      <w14:textFill>
                        <w14:solidFill>
                          <w14:schemeClr w14:val="tx1"/>
                        </w14:solidFill>
                      </w14:textFill>
                    </w:rPr>
                    <w:t>委托单位名称</w:t>
                  </w:r>
                </w:p>
              </w:tc>
              <w:tc>
                <w:tcPr>
                  <w:tcW w:w="3236" w:type="pct"/>
                  <w:gridSpan w:val="3"/>
                  <w:tcBorders>
                    <w:tl2br w:val="nil"/>
                    <w:tr2bl w:val="nil"/>
                  </w:tcBorders>
                  <w:noWrap w:val="0"/>
                  <w:vAlign w:val="center"/>
                </w:tcPr>
                <w:p w14:paraId="70A90A82">
                  <w:pPr>
                    <w:pStyle w:val="51"/>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b w:val="0"/>
                      <w:bCs w:val="0"/>
                      <w:color w:val="auto"/>
                      <w:kern w:val="0"/>
                      <w:szCs w:val="21"/>
                      <w:lang w:val="en-US" w:eastAsia="zh-CN"/>
                    </w:rPr>
                    <w:t>设置危险废物贮存设施对其暂存</w:t>
                  </w:r>
                  <w:r>
                    <w:rPr>
                      <w:rFonts w:hint="eastAsia" w:ascii="Times New Roman" w:hAnsi="Times New Roman"/>
                      <w:b w:val="0"/>
                      <w:bCs w:val="0"/>
                      <w:color w:val="auto"/>
                      <w:kern w:val="0"/>
                      <w:szCs w:val="21"/>
                    </w:rPr>
                    <w:t>，定期交由有资质单位转运处置</w:t>
                  </w:r>
                </w:p>
              </w:tc>
            </w:tr>
          </w:tbl>
          <w:p w14:paraId="64F89A7E">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1"/>
              <w:rPr>
                <w:rFonts w:hint="default" w:ascii="Times New Roman" w:hAnsi="Times New Roman" w:eastAsia="宋体" w:cs="Times New Roman"/>
                <w:bCs/>
                <w:color w:val="auto"/>
                <w:sz w:val="24"/>
                <w:szCs w:val="24"/>
              </w:rPr>
            </w:pPr>
            <w:r>
              <w:rPr>
                <w:rFonts w:hint="eastAsia" w:cs="Times New Roman"/>
                <w:bCs/>
                <w:color w:val="auto"/>
                <w:sz w:val="24"/>
                <w:szCs w:val="24"/>
                <w:lang w:eastAsia="zh-CN"/>
              </w:rPr>
              <w:t>（2）</w:t>
            </w:r>
            <w:r>
              <w:rPr>
                <w:rFonts w:hint="default" w:ascii="Times New Roman" w:hAnsi="Times New Roman" w:eastAsia="宋体" w:cs="Times New Roman"/>
                <w:bCs/>
                <w:color w:val="auto"/>
                <w:sz w:val="24"/>
                <w:szCs w:val="24"/>
              </w:rPr>
              <w:t>环境管理要求</w:t>
            </w:r>
          </w:p>
          <w:p w14:paraId="5B1E789E">
            <w:pPr>
              <w:spacing w:line="360" w:lineRule="auto"/>
              <w:ind w:firstLine="482" w:firstLineChars="200"/>
              <w:rPr>
                <w:rFonts w:ascii="Times New Roman" w:hAnsi="Times New Roman" w:eastAsiaTheme="minorEastAsia"/>
                <w:b/>
                <w:bCs/>
                <w:color w:val="auto"/>
                <w:sz w:val="24"/>
                <w:szCs w:val="28"/>
              </w:rPr>
            </w:pPr>
            <w:r>
              <w:rPr>
                <w:rFonts w:ascii="Times New Roman" w:hAnsi="Times New Roman" w:eastAsiaTheme="minorEastAsia"/>
                <w:b/>
                <w:bCs/>
                <w:color w:val="auto"/>
                <w:sz w:val="24"/>
              </w:rPr>
              <w:t>一般工业固体废物贮存要求</w:t>
            </w:r>
            <w:r>
              <w:rPr>
                <w:rFonts w:ascii="Times New Roman" w:hAnsi="Times New Roman" w:eastAsiaTheme="minorEastAsia"/>
                <w:b/>
                <w:bCs/>
                <w:color w:val="auto"/>
                <w:sz w:val="24"/>
                <w:szCs w:val="28"/>
              </w:rPr>
              <w:t>：</w:t>
            </w:r>
          </w:p>
          <w:p w14:paraId="3F735F84">
            <w:pPr>
              <w:spacing w:line="360" w:lineRule="auto"/>
              <w:ind w:firstLine="480" w:firstLineChars="200"/>
              <w:rPr>
                <w:rFonts w:hint="eastAsia" w:ascii="Times New Roman" w:hAnsi="Times New Roman" w:cs="Times New Roman" w:eastAsiaTheme="minorEastAsia"/>
                <w:color w:val="auto"/>
                <w:sz w:val="24"/>
                <w:szCs w:val="24"/>
                <w:lang w:val="en-US" w:eastAsia="zh-CN"/>
              </w:rPr>
            </w:pPr>
            <w:r>
              <w:rPr>
                <w:rFonts w:hint="eastAsia" w:asciiTheme="minorEastAsia" w:hAnsiTheme="minorEastAsia" w:eastAsiaTheme="minorEastAsia" w:cstheme="minorEastAsia"/>
                <w:color w:val="auto"/>
                <w:sz w:val="24"/>
                <w:lang w:val="en-US" w:eastAsia="zh-CN"/>
              </w:rPr>
              <w:t>本项目于</w:t>
            </w:r>
            <w:r>
              <w:rPr>
                <w:rFonts w:hint="eastAsia" w:ascii="Times New Roman" w:hAnsi="Times New Roman" w:cs="Times New Roman" w:eastAsiaTheme="minorEastAsia"/>
                <w:color w:val="auto"/>
                <w:sz w:val="24"/>
                <w:szCs w:val="24"/>
                <w:lang w:val="en-US" w:eastAsia="zh-CN"/>
              </w:rPr>
              <w:t>车间内西北角设置一般固废暂存区，占地</w:t>
            </w:r>
            <w:r>
              <w:rPr>
                <w:rFonts w:hint="eastAsia" w:ascii="Times New Roman" w:hAnsi="Times New Roman" w:eastAsiaTheme="minorEastAsia"/>
                <w:color w:val="auto"/>
                <w:sz w:val="24"/>
                <w:szCs w:val="24"/>
              </w:rPr>
              <w:t>面积</w:t>
            </w:r>
            <w:r>
              <w:rPr>
                <w:rFonts w:hint="eastAsia" w:ascii="Times New Roman" w:hAnsi="Times New Roman" w:eastAsiaTheme="minorEastAsia"/>
                <w:color w:val="auto"/>
                <w:sz w:val="24"/>
                <w:szCs w:val="24"/>
                <w:lang w:val="en-US" w:eastAsia="zh-CN"/>
              </w:rPr>
              <w:t>20</w:t>
            </w:r>
            <w:r>
              <w:rPr>
                <w:rFonts w:hint="eastAsia" w:ascii="Times New Roman" w:hAnsi="Times New Roman" w:eastAsiaTheme="minorEastAsia"/>
                <w:color w:val="auto"/>
                <w:sz w:val="24"/>
                <w:szCs w:val="24"/>
              </w:rPr>
              <w:t>m</w:t>
            </w:r>
            <w:r>
              <w:rPr>
                <w:rFonts w:hint="eastAsia" w:ascii="Times New Roman" w:hAnsi="Times New Roman" w:eastAsiaTheme="minorEastAsia"/>
                <w:color w:val="auto"/>
                <w:sz w:val="24"/>
                <w:szCs w:val="24"/>
                <w:vertAlign w:val="superscript"/>
              </w:rPr>
              <w:t>2</w:t>
            </w:r>
            <w:r>
              <w:rPr>
                <w:rFonts w:hint="eastAsia" w:ascii="Times New Roman" w:hAnsi="Times New Roman" w:cs="Times New Roman" w:eastAsiaTheme="minorEastAsia"/>
                <w:color w:val="auto"/>
                <w:sz w:val="24"/>
                <w:szCs w:val="24"/>
                <w:lang w:val="en-US" w:eastAsia="zh-CN"/>
              </w:rPr>
              <w:t>，用于一般固体废物的收集暂存。</w:t>
            </w:r>
          </w:p>
          <w:p w14:paraId="1AA3A8DE">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ascii="Times New Roman" w:hAnsi="Times New Roman" w:eastAsiaTheme="minorEastAsia"/>
                <w:color w:val="auto"/>
                <w:sz w:val="24"/>
                <w:szCs w:val="28"/>
              </w:rPr>
            </w:pPr>
            <w:r>
              <w:rPr>
                <w:rFonts w:hint="eastAsia" w:asciiTheme="minorEastAsia" w:hAnsiTheme="minorEastAsia" w:eastAsiaTheme="minorEastAsia" w:cstheme="minorEastAsia"/>
                <w:color w:val="auto"/>
                <w:sz w:val="24"/>
              </w:rPr>
              <w:t>建设项目强化废物产生、收集、贮运各环节的管理，杜绝固废在厂区内的散失、渗漏，</w:t>
            </w:r>
            <w:r>
              <w:rPr>
                <w:rFonts w:hint="eastAsia" w:asciiTheme="minorEastAsia" w:hAnsiTheme="minorEastAsia" w:eastAsiaTheme="minorEastAsia" w:cstheme="minorEastAsia"/>
                <w:color w:val="auto"/>
                <w:sz w:val="24"/>
                <w:szCs w:val="28"/>
              </w:rPr>
              <w:t>以免产生二次污染</w:t>
            </w:r>
            <w:r>
              <w:rPr>
                <w:rFonts w:hint="eastAsia" w:asciiTheme="minorEastAsia" w:hAnsiTheme="minorEastAsia" w:eastAsiaTheme="minorEastAsia" w:cstheme="minorEastAsia"/>
                <w:color w:val="auto"/>
                <w:sz w:val="24"/>
              </w:rPr>
              <w:t>，做</w:t>
            </w:r>
            <w:r>
              <w:rPr>
                <w:rFonts w:ascii="Times New Roman" w:hAnsi="Times New Roman" w:eastAsiaTheme="minorEastAsia"/>
                <w:color w:val="auto"/>
                <w:sz w:val="24"/>
              </w:rPr>
              <w:t>好固体废物在厂区内的收集和储存相关防护工作，满足</w:t>
            </w:r>
            <w:r>
              <w:rPr>
                <w:rFonts w:hint="eastAsia" w:asciiTheme="minorEastAsia" w:hAnsiTheme="minorEastAsia" w:eastAsiaTheme="minorEastAsia" w:cstheme="minorEastAsia"/>
                <w:color w:val="auto"/>
                <w:sz w:val="24"/>
                <w:shd w:val="clear" w:color="auto" w:fill="FFFFFF"/>
              </w:rPr>
              <w:t>“防渗漏、防雨淋、防扬尘”</w:t>
            </w:r>
            <w:r>
              <w:rPr>
                <w:rFonts w:ascii="Times New Roman" w:hAnsi="Times New Roman" w:eastAsiaTheme="minorEastAsia"/>
                <w:color w:val="auto"/>
                <w:sz w:val="24"/>
              </w:rPr>
              <w:t>等国家相关标准规定的要求，收集后进行有效处置，</w:t>
            </w:r>
            <w:r>
              <w:rPr>
                <w:rFonts w:ascii="Times New Roman" w:hAnsi="Times New Roman" w:eastAsiaTheme="minorEastAsia"/>
                <w:color w:val="auto"/>
                <w:sz w:val="24"/>
                <w:szCs w:val="28"/>
              </w:rPr>
              <w:t>同时要遵循</w:t>
            </w:r>
            <w:r>
              <w:rPr>
                <w:rFonts w:hint="eastAsia" w:ascii="Times New Roman" w:hAnsi="Times New Roman" w:eastAsiaTheme="minorEastAsia"/>
                <w:color w:val="auto"/>
                <w:sz w:val="24"/>
                <w:szCs w:val="28"/>
              </w:rPr>
              <w:t>“</w:t>
            </w:r>
            <w:r>
              <w:rPr>
                <w:rFonts w:ascii="Times New Roman" w:hAnsi="Times New Roman" w:eastAsiaTheme="minorEastAsia"/>
                <w:color w:val="auto"/>
                <w:sz w:val="24"/>
                <w:szCs w:val="28"/>
              </w:rPr>
              <w:t>资源化、减量化、无害化</w:t>
            </w:r>
            <w:r>
              <w:rPr>
                <w:rFonts w:hint="eastAsia" w:ascii="Times New Roman" w:hAnsi="Times New Roman" w:eastAsiaTheme="minorEastAsia"/>
                <w:color w:val="auto"/>
                <w:sz w:val="24"/>
                <w:szCs w:val="28"/>
              </w:rPr>
              <w:t>”</w:t>
            </w:r>
            <w:r>
              <w:rPr>
                <w:rFonts w:ascii="Times New Roman" w:hAnsi="Times New Roman" w:eastAsiaTheme="minorEastAsia"/>
                <w:color w:val="auto"/>
                <w:sz w:val="24"/>
                <w:szCs w:val="28"/>
              </w:rPr>
              <w:t>的治理原则。</w:t>
            </w:r>
          </w:p>
          <w:p w14:paraId="5F00D690">
            <w:pPr>
              <w:spacing w:line="360" w:lineRule="auto"/>
              <w:ind w:firstLine="482" w:firstLineChars="200"/>
              <w:rPr>
                <w:rFonts w:ascii="Times New Roman" w:hAnsi="Times New Roman" w:eastAsiaTheme="minorEastAsia"/>
                <w:b/>
                <w:bCs/>
                <w:color w:val="auto"/>
                <w:sz w:val="24"/>
              </w:rPr>
            </w:pPr>
            <w:r>
              <w:rPr>
                <w:rFonts w:ascii="Times New Roman" w:hAnsi="Times New Roman" w:eastAsiaTheme="minorEastAsia"/>
                <w:b/>
                <w:bCs/>
                <w:color w:val="auto"/>
                <w:sz w:val="24"/>
              </w:rPr>
              <w:t>危险废物贮存及转移要求</w:t>
            </w:r>
            <w:r>
              <w:rPr>
                <w:rFonts w:hint="eastAsia" w:ascii="Times New Roman" w:hAnsi="Times New Roman" w:eastAsiaTheme="minorEastAsia"/>
                <w:b/>
                <w:bCs/>
                <w:color w:val="auto"/>
                <w:sz w:val="24"/>
              </w:rPr>
              <w:t>：</w:t>
            </w:r>
          </w:p>
          <w:p w14:paraId="6ABFCB2E">
            <w:pPr>
              <w:spacing w:line="360" w:lineRule="auto"/>
              <w:ind w:firstLine="480" w:firstLineChars="200"/>
              <w:rPr>
                <w:rFonts w:hint="eastAsia" w:ascii="Times New Roman" w:hAnsi="Times New Roman" w:cs="Times New Roman" w:eastAsiaTheme="minorEastAsia"/>
                <w:color w:val="auto"/>
                <w:sz w:val="24"/>
                <w:szCs w:val="24"/>
                <w:lang w:val="en-US" w:eastAsia="zh-CN"/>
              </w:rPr>
            </w:pPr>
            <w:r>
              <w:rPr>
                <w:rFonts w:hint="eastAsia" w:asciiTheme="minorEastAsia" w:hAnsiTheme="minorEastAsia" w:eastAsiaTheme="minorEastAsia" w:cstheme="minorEastAsia"/>
                <w:color w:val="auto"/>
                <w:sz w:val="24"/>
                <w:lang w:val="en-US" w:eastAsia="zh-CN"/>
              </w:rPr>
              <w:t>本项目于</w:t>
            </w:r>
            <w:r>
              <w:rPr>
                <w:rFonts w:hint="eastAsia" w:ascii="Times New Roman" w:hAnsi="Times New Roman" w:cs="Times New Roman" w:eastAsiaTheme="minorEastAsia"/>
                <w:color w:val="auto"/>
                <w:sz w:val="24"/>
                <w:szCs w:val="24"/>
                <w:lang w:val="en-US" w:eastAsia="zh-CN"/>
              </w:rPr>
              <w:t>车间内东北角设置1间危险废物贮存库，占地</w:t>
            </w:r>
            <w:r>
              <w:rPr>
                <w:rFonts w:hint="eastAsia" w:ascii="Times New Roman" w:hAnsi="Times New Roman" w:eastAsiaTheme="minorEastAsia"/>
                <w:color w:val="auto"/>
                <w:sz w:val="24"/>
                <w:szCs w:val="24"/>
              </w:rPr>
              <w:t>面积</w:t>
            </w:r>
            <w:r>
              <w:rPr>
                <w:rFonts w:hint="eastAsia" w:ascii="Times New Roman" w:hAnsi="Times New Roman" w:eastAsiaTheme="minorEastAsia"/>
                <w:color w:val="auto"/>
                <w:sz w:val="24"/>
                <w:szCs w:val="24"/>
                <w:lang w:val="en-US" w:eastAsia="zh-CN"/>
              </w:rPr>
              <w:t>15</w:t>
            </w:r>
            <w:r>
              <w:rPr>
                <w:rFonts w:hint="eastAsia" w:ascii="Times New Roman" w:hAnsi="Times New Roman" w:eastAsiaTheme="minorEastAsia"/>
                <w:color w:val="auto"/>
                <w:sz w:val="24"/>
                <w:szCs w:val="24"/>
              </w:rPr>
              <w:t>m</w:t>
            </w:r>
            <w:r>
              <w:rPr>
                <w:rFonts w:hint="eastAsia" w:ascii="Times New Roman" w:hAnsi="Times New Roman" w:eastAsiaTheme="minorEastAsia"/>
                <w:color w:val="auto"/>
                <w:sz w:val="24"/>
                <w:szCs w:val="24"/>
                <w:vertAlign w:val="superscript"/>
              </w:rPr>
              <w:t>2</w:t>
            </w:r>
            <w:r>
              <w:rPr>
                <w:rFonts w:hint="eastAsia" w:ascii="Times New Roman" w:hAnsi="Times New Roman" w:cs="Times New Roman" w:eastAsiaTheme="minorEastAsia"/>
                <w:color w:val="auto"/>
                <w:sz w:val="24"/>
                <w:szCs w:val="24"/>
                <w:lang w:val="en-US" w:eastAsia="zh-CN"/>
              </w:rPr>
              <w:t>，用于危险废物临时暂存。危险废物贮存库建设需满足以下要求：</w:t>
            </w:r>
          </w:p>
          <w:p w14:paraId="0EE9F1D2">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1）收集、管理措施</w:t>
            </w:r>
          </w:p>
          <w:p w14:paraId="555A3DA2">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建设单位应当以</w:t>
            </w:r>
            <w:r>
              <w:rPr>
                <w:rFonts w:hint="eastAsia" w:ascii="Times New Roman" w:hAnsi="Times New Roman" w:eastAsiaTheme="minorEastAsia"/>
                <w:color w:val="auto"/>
                <w:sz w:val="24"/>
                <w:szCs w:val="28"/>
                <w:lang w:val="en-US" w:eastAsia="zh-CN"/>
              </w:rPr>
              <w:t>控制</w:t>
            </w:r>
            <w:r>
              <w:rPr>
                <w:rFonts w:ascii="Times New Roman" w:hAnsi="Times New Roman" w:eastAsiaTheme="minorEastAsia"/>
                <w:color w:val="auto"/>
                <w:sz w:val="24"/>
                <w:szCs w:val="28"/>
              </w:rPr>
              <w:t>危险废物的环境风险为目标，制定危险废物管理计划，建立完善的危险废物管理台账和企业内部产生和收集、贮存部门危险废物交接制度，严格记录每种危险废物产生量、进出暂存间的量、处置量及各个时间节点负责人、用途或处置方式等，加强对危险废物包装、贮存的管理，严格执行危险废物转移联单制度。</w:t>
            </w:r>
          </w:p>
          <w:p w14:paraId="7828E965">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危险废物在收集时，应清楚废物的类别及</w:t>
            </w:r>
            <w:r>
              <w:rPr>
                <w:rFonts w:hint="eastAsia" w:ascii="Times New Roman" w:hAnsi="Times New Roman" w:eastAsiaTheme="minorEastAsia"/>
                <w:color w:val="auto"/>
                <w:sz w:val="24"/>
                <w:szCs w:val="28"/>
                <w:lang w:eastAsia="zh-CN"/>
              </w:rPr>
              <w:t>主要成分</w:t>
            </w:r>
            <w:r>
              <w:rPr>
                <w:rFonts w:ascii="Times New Roman" w:hAnsi="Times New Roman" w:eastAsiaTheme="minorEastAsia"/>
                <w:color w:val="auto"/>
                <w:sz w:val="24"/>
                <w:szCs w:val="28"/>
              </w:rPr>
              <w:t>，以方便委托处理单位处理</w:t>
            </w:r>
            <w:r>
              <w:rPr>
                <w:rFonts w:hint="eastAsia" w:eastAsiaTheme="minorEastAsia"/>
                <w:color w:val="auto"/>
                <w:sz w:val="24"/>
                <w:szCs w:val="28"/>
                <w:lang w:eastAsia="zh-CN"/>
              </w:rPr>
              <w:t>。</w:t>
            </w:r>
            <w:r>
              <w:rPr>
                <w:rFonts w:ascii="Times New Roman" w:hAnsi="Times New Roman" w:eastAsiaTheme="minorEastAsia"/>
                <w:color w:val="auto"/>
                <w:sz w:val="24"/>
                <w:szCs w:val="28"/>
              </w:rPr>
              <w:t>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危险废物应尽快送往委托有资质单位处置，不宜存放过长时间。</w:t>
            </w:r>
          </w:p>
          <w:p w14:paraId="65A804CD">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2）暂存措施</w:t>
            </w:r>
          </w:p>
          <w:p w14:paraId="3F821CF4">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建设单位在厂区内按照</w:t>
            </w:r>
            <w:r>
              <w:rPr>
                <w:rFonts w:ascii="Times New Roman" w:hAnsi="Times New Roman" w:eastAsiaTheme="minorEastAsia"/>
                <w:bCs/>
                <w:color w:val="auto"/>
                <w:sz w:val="24"/>
              </w:rPr>
              <w:t>《危险废物贮存污染控制标准》（GB18597-20</w:t>
            </w:r>
            <w:r>
              <w:rPr>
                <w:rFonts w:hint="eastAsia" w:ascii="Times New Roman" w:hAnsi="Times New Roman" w:eastAsiaTheme="minorEastAsia"/>
                <w:bCs/>
                <w:color w:val="auto"/>
                <w:sz w:val="24"/>
                <w:lang w:val="en-US" w:eastAsia="zh-CN"/>
              </w:rPr>
              <w:t>23</w:t>
            </w:r>
            <w:r>
              <w:rPr>
                <w:rFonts w:ascii="Times New Roman" w:hAnsi="Times New Roman" w:eastAsiaTheme="minorEastAsia"/>
                <w:bCs/>
                <w:color w:val="auto"/>
                <w:sz w:val="24"/>
              </w:rPr>
              <w:t>）</w:t>
            </w:r>
            <w:r>
              <w:rPr>
                <w:rFonts w:hint="eastAsia" w:ascii="Times New Roman" w:hAnsi="Times New Roman" w:eastAsiaTheme="minorEastAsia"/>
                <w:bCs/>
                <w:color w:val="auto"/>
                <w:sz w:val="24"/>
                <w:lang w:val="en-US" w:eastAsia="zh-CN"/>
              </w:rPr>
              <w:t>及《危险废物识别标志设置技术规范》（HJ 1276-2022）</w:t>
            </w:r>
            <w:r>
              <w:rPr>
                <w:rFonts w:ascii="Times New Roman" w:hAnsi="Times New Roman" w:eastAsiaTheme="minorEastAsia"/>
                <w:color w:val="auto"/>
                <w:sz w:val="24"/>
                <w:szCs w:val="28"/>
              </w:rPr>
              <w:t>中的</w:t>
            </w:r>
            <w:r>
              <w:rPr>
                <w:rFonts w:hint="eastAsia" w:ascii="Times New Roman" w:hAnsi="Times New Roman" w:eastAsiaTheme="minorEastAsia"/>
                <w:color w:val="auto"/>
                <w:sz w:val="24"/>
                <w:szCs w:val="28"/>
                <w:lang w:val="en-US" w:eastAsia="zh-CN"/>
              </w:rPr>
              <w:t>建设要求</w:t>
            </w:r>
            <w:r>
              <w:rPr>
                <w:rFonts w:ascii="Times New Roman" w:hAnsi="Times New Roman" w:eastAsiaTheme="minorEastAsia"/>
                <w:color w:val="auto"/>
                <w:sz w:val="24"/>
                <w:szCs w:val="28"/>
              </w:rPr>
              <w:t>设置</w:t>
            </w:r>
            <w:r>
              <w:rPr>
                <w:rFonts w:hint="eastAsia" w:ascii="Times New Roman" w:hAnsi="Times New Roman" w:cs="Times New Roman" w:eastAsiaTheme="minorEastAsia"/>
                <w:color w:val="auto"/>
                <w:sz w:val="24"/>
                <w:szCs w:val="24"/>
                <w:lang w:val="en-US" w:eastAsia="zh-CN"/>
              </w:rPr>
              <w:t>危险废物贮存库</w:t>
            </w:r>
            <w:r>
              <w:rPr>
                <w:rFonts w:ascii="Times New Roman" w:hAnsi="Times New Roman" w:eastAsiaTheme="minorEastAsia"/>
                <w:color w:val="auto"/>
                <w:sz w:val="24"/>
                <w:szCs w:val="28"/>
              </w:rPr>
              <w:t>，具体要求如下：</w:t>
            </w:r>
          </w:p>
          <w:p w14:paraId="7A55E8C9">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①</w:t>
            </w:r>
            <w:r>
              <w:rPr>
                <w:rFonts w:hint="eastAsia" w:ascii="Times New Roman" w:hAnsi="Times New Roman" w:eastAsiaTheme="minorEastAsia"/>
                <w:color w:val="auto"/>
                <w:sz w:val="24"/>
                <w:szCs w:val="28"/>
              </w:rPr>
              <w:t>不同类别、形态、物理化学性质的危险废物，其容器和包装物应满足相应的防渗、防漏、防腐和强度等要求</w:t>
            </w:r>
            <w:r>
              <w:rPr>
                <w:rFonts w:ascii="Times New Roman" w:hAnsi="Times New Roman" w:eastAsiaTheme="minorEastAsia"/>
                <w:color w:val="auto"/>
                <w:sz w:val="24"/>
                <w:szCs w:val="28"/>
              </w:rPr>
              <w:t>。</w:t>
            </w:r>
          </w:p>
          <w:p w14:paraId="2BA73A11">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②</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地面、墙面裙脚、堵截泄漏的围堰、接触危险废物的隔板和墙体等应采用坚固的材料建造，表面无裂缝</w:t>
            </w:r>
            <w:r>
              <w:rPr>
                <w:rFonts w:ascii="Times New Roman" w:hAnsi="Times New Roman" w:eastAsiaTheme="minorEastAsia"/>
                <w:color w:val="auto"/>
                <w:sz w:val="24"/>
                <w:szCs w:val="28"/>
              </w:rPr>
              <w:t>。</w:t>
            </w:r>
          </w:p>
          <w:p w14:paraId="3080AC2D">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③</w:t>
            </w:r>
            <w:r>
              <w:rPr>
                <w:rFonts w:hint="eastAsia" w:ascii="Times New Roman" w:hAnsi="Times New Roman" w:cs="Times New Roman" w:eastAsiaTheme="minorEastAsia"/>
                <w:color w:val="auto"/>
                <w:sz w:val="24"/>
                <w:szCs w:val="24"/>
                <w:lang w:val="en-US" w:eastAsia="zh-CN"/>
              </w:rPr>
              <w:t>危险废物贮存库</w:t>
            </w:r>
            <w:r>
              <w:rPr>
                <w:rFonts w:hint="eastAsia" w:cs="Times New Roman" w:eastAsiaTheme="minorEastAsia"/>
                <w:color w:val="auto"/>
                <w:sz w:val="24"/>
                <w:szCs w:val="24"/>
                <w:lang w:val="en-US" w:eastAsia="zh-CN"/>
              </w:rPr>
              <w:t>的</w:t>
            </w:r>
            <w:r>
              <w:rPr>
                <w:rFonts w:hint="eastAsia" w:ascii="Times New Roman" w:hAnsi="Times New Roman" w:eastAsiaTheme="minorEastAsia"/>
                <w:color w:val="auto"/>
                <w:sz w:val="24"/>
                <w:szCs w:val="28"/>
              </w:rPr>
              <w:t>地面</w:t>
            </w:r>
            <w:r>
              <w:rPr>
                <w:rFonts w:hint="eastAsia" w:eastAsiaTheme="minorEastAsia"/>
                <w:color w:val="auto"/>
                <w:sz w:val="24"/>
                <w:szCs w:val="28"/>
                <w:lang w:eastAsia="zh-CN"/>
              </w:rPr>
              <w:t>轰然</w:t>
            </w:r>
            <w:r>
              <w:rPr>
                <w:rFonts w:hint="eastAsia" w:ascii="Times New Roman" w:hAnsi="Times New Roman" w:eastAsiaTheme="minorEastAsia"/>
                <w:color w:val="auto"/>
                <w:sz w:val="24"/>
                <w:szCs w:val="28"/>
              </w:rPr>
              <w:t>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ascii="Times New Roman" w:hAnsi="Times New Roman" w:eastAsiaTheme="minorEastAsia"/>
                <w:color w:val="auto"/>
                <w:sz w:val="24"/>
                <w:szCs w:val="28"/>
                <w:vertAlign w:val="superscript"/>
              </w:rPr>
              <w:t xml:space="preserve">-7 </w:t>
            </w:r>
            <w:r>
              <w:rPr>
                <w:rFonts w:hint="eastAsia" w:ascii="Times New Roman" w:hAnsi="Times New Roman" w:eastAsiaTheme="minorEastAsia"/>
                <w:color w:val="auto"/>
                <w:sz w:val="24"/>
                <w:szCs w:val="28"/>
              </w:rPr>
              <w:t>cm/s），或至少2 mm厚高密度聚乙烯膜等人工防渗材料（渗透系数不大于10</w:t>
            </w:r>
            <w:r>
              <w:rPr>
                <w:rFonts w:hint="eastAsia" w:ascii="Times New Roman" w:hAnsi="Times New Roman" w:eastAsiaTheme="minorEastAsia"/>
                <w:color w:val="auto"/>
                <w:sz w:val="24"/>
                <w:szCs w:val="28"/>
                <w:vertAlign w:val="superscript"/>
              </w:rPr>
              <w:t>-10</w:t>
            </w:r>
            <w:r>
              <w:rPr>
                <w:rFonts w:hint="eastAsia" w:ascii="Times New Roman" w:hAnsi="Times New Roman" w:eastAsiaTheme="minorEastAsia"/>
                <w:color w:val="auto"/>
                <w:sz w:val="24"/>
                <w:szCs w:val="28"/>
              </w:rPr>
              <w:t xml:space="preserve"> cm/s），或其他防渗性能等效的材料</w:t>
            </w:r>
            <w:r>
              <w:rPr>
                <w:rFonts w:ascii="Times New Roman" w:hAnsi="Times New Roman" w:eastAsiaTheme="minorEastAsia"/>
                <w:color w:val="auto"/>
                <w:sz w:val="24"/>
                <w:szCs w:val="28"/>
              </w:rPr>
              <w:t>。</w:t>
            </w:r>
          </w:p>
          <w:p w14:paraId="0CCC06DC">
            <w:pPr>
              <w:spacing w:line="360" w:lineRule="auto"/>
              <w:ind w:firstLine="480" w:firstLineChars="200"/>
              <w:rPr>
                <w:rFonts w:ascii="Times New Roman" w:hAnsi="Times New Roman" w:eastAsiaTheme="minorEastAsia"/>
                <w:color w:val="auto"/>
                <w:sz w:val="24"/>
                <w:szCs w:val="28"/>
              </w:rPr>
            </w:pPr>
            <w:r>
              <w:rPr>
                <w:rFonts w:hint="eastAsia" w:ascii="宋体" w:hAnsi="宋体" w:eastAsia="宋体" w:cs="宋体"/>
                <w:color w:val="auto"/>
                <w:sz w:val="24"/>
                <w:szCs w:val="28"/>
              </w:rPr>
              <w:t>④</w:t>
            </w:r>
            <w:r>
              <w:rPr>
                <w:rFonts w:hint="eastAsia" w:ascii="Times New Roman" w:hAnsi="Times New Roman" w:cs="Times New Roman" w:eastAsiaTheme="minorEastAsia"/>
                <w:color w:val="auto"/>
                <w:sz w:val="24"/>
                <w:szCs w:val="24"/>
                <w:lang w:val="en-US" w:eastAsia="zh-CN"/>
              </w:rPr>
              <w:t>危险废物贮存库</w:t>
            </w:r>
            <w:r>
              <w:rPr>
                <w:rFonts w:ascii="Times New Roman" w:hAnsi="Times New Roman" w:eastAsiaTheme="minorEastAsia"/>
                <w:color w:val="auto"/>
                <w:sz w:val="24"/>
                <w:szCs w:val="28"/>
              </w:rPr>
              <w:t>要满足</w:t>
            </w:r>
            <w:r>
              <w:rPr>
                <w:rFonts w:hint="eastAsia" w:ascii="Times New Roman" w:hAnsi="Times New Roman" w:eastAsiaTheme="minorEastAsia"/>
                <w:color w:val="auto"/>
                <w:sz w:val="24"/>
                <w:szCs w:val="28"/>
              </w:rPr>
              <w:t>防风、防雨、防晒和防止危险废物流失、扬散</w:t>
            </w:r>
            <w:r>
              <w:rPr>
                <w:rFonts w:ascii="Times New Roman" w:hAnsi="Times New Roman" w:eastAsiaTheme="minorEastAsia"/>
                <w:color w:val="auto"/>
                <w:sz w:val="24"/>
                <w:szCs w:val="28"/>
              </w:rPr>
              <w:t>。</w:t>
            </w:r>
          </w:p>
          <w:p w14:paraId="023A78B5">
            <w:pPr>
              <w:spacing w:line="360" w:lineRule="auto"/>
              <w:ind w:firstLine="480" w:firstLineChars="200"/>
              <w:rPr>
                <w:rFonts w:ascii="Times New Roman" w:hAnsi="Times New Roman" w:eastAsiaTheme="minorEastAsia"/>
                <w:color w:val="auto"/>
                <w:sz w:val="24"/>
                <w:szCs w:val="28"/>
              </w:rPr>
            </w:pPr>
            <w:r>
              <w:rPr>
                <w:rFonts w:hint="eastAsia" w:ascii="Times New Roman" w:hAnsi="Times New Roman" w:eastAsiaTheme="minorEastAsia"/>
                <w:color w:val="auto"/>
                <w:sz w:val="24"/>
                <w:szCs w:val="28"/>
              </w:rPr>
              <w:t>⑤</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、容器和包装物应按</w:t>
            </w:r>
            <w:r>
              <w:rPr>
                <w:rFonts w:hint="eastAsia" w:ascii="Times New Roman" w:hAnsi="Times New Roman" w:eastAsiaTheme="minorEastAsia"/>
                <w:bCs/>
                <w:color w:val="auto"/>
                <w:sz w:val="24"/>
                <w:lang w:val="en-US" w:eastAsia="zh-CN"/>
              </w:rPr>
              <w:t>《危险废物识别标志设置技术规范》（HJ 1276-2022）</w:t>
            </w:r>
            <w:r>
              <w:rPr>
                <w:rFonts w:hint="eastAsia" w:ascii="Times New Roman" w:hAnsi="Times New Roman" w:eastAsiaTheme="minorEastAsia"/>
                <w:color w:val="auto"/>
                <w:sz w:val="24"/>
                <w:szCs w:val="28"/>
              </w:rPr>
              <w:t>要求设置危险废物贮存设施或场所标志、危险废物贮存分区标志和危险废物标签等危险废物识别标志</w:t>
            </w:r>
            <w:r>
              <w:rPr>
                <w:rFonts w:ascii="Times New Roman" w:hAnsi="Times New Roman" w:eastAsiaTheme="minorEastAsia"/>
                <w:color w:val="auto"/>
                <w:sz w:val="24"/>
                <w:szCs w:val="28"/>
              </w:rPr>
              <w:t>。</w:t>
            </w:r>
          </w:p>
          <w:p w14:paraId="7B734623">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⑥</w:t>
            </w:r>
            <w:r>
              <w:rPr>
                <w:rFonts w:hint="eastAsia" w:ascii="宋体" w:hAnsi="宋体" w:eastAsia="宋体" w:cs="宋体"/>
                <w:color w:val="auto"/>
                <w:sz w:val="24"/>
                <w:szCs w:val="28"/>
              </w:rPr>
              <w:t>废润滑油、废液压油、废</w:t>
            </w:r>
            <w:r>
              <w:rPr>
                <w:rFonts w:hint="eastAsia" w:ascii="宋体" w:hAnsi="宋体" w:eastAsia="宋体" w:cs="宋体"/>
                <w:color w:val="auto"/>
                <w:sz w:val="24"/>
                <w:szCs w:val="28"/>
                <w:lang w:eastAsia="zh-CN"/>
              </w:rPr>
              <w:t>皂化液、废切割液</w:t>
            </w:r>
            <w:r>
              <w:rPr>
                <w:rFonts w:hint="eastAsia" w:ascii="宋体" w:hAnsi="宋体" w:eastAsia="宋体" w:cs="宋体"/>
                <w:color w:val="auto"/>
                <w:sz w:val="24"/>
                <w:szCs w:val="28"/>
              </w:rPr>
              <w:t>暂存桶下方设置防渗托盘，含油手套和抹布暂存桶</w:t>
            </w:r>
            <w:r>
              <w:rPr>
                <w:rFonts w:hint="eastAsia" w:ascii="宋体" w:hAnsi="宋体" w:cs="宋体"/>
                <w:color w:val="auto"/>
                <w:sz w:val="24"/>
                <w:szCs w:val="28"/>
                <w:lang w:eastAsia="zh-CN"/>
              </w:rPr>
              <w:t>需要</w:t>
            </w:r>
            <w:r>
              <w:rPr>
                <w:rFonts w:hint="eastAsia" w:ascii="宋体" w:hAnsi="宋体" w:eastAsia="宋体" w:cs="宋体"/>
                <w:color w:val="auto"/>
                <w:sz w:val="24"/>
                <w:szCs w:val="28"/>
              </w:rPr>
              <w:t>加盖。</w:t>
            </w:r>
            <w:r>
              <w:rPr>
                <w:rFonts w:hint="eastAsia" w:ascii="Times New Roman" w:hAnsi="Times New Roman" w:eastAsiaTheme="minorEastAsia"/>
                <w:color w:val="auto"/>
                <w:sz w:val="24"/>
                <w:szCs w:val="28"/>
              </w:rPr>
              <w:t>使用容器盛装液态危险废物时，容器内部应留有适当的空间，以适应因温度变化等可能引发的收缩和膨胀，防止其导致容器渗漏或永久变形</w:t>
            </w:r>
            <w:r>
              <w:rPr>
                <w:rFonts w:ascii="Times New Roman" w:hAnsi="Times New Roman" w:eastAsiaTheme="minorEastAsia"/>
                <w:color w:val="auto"/>
                <w:sz w:val="24"/>
                <w:szCs w:val="28"/>
              </w:rPr>
              <w:t>。</w:t>
            </w:r>
          </w:p>
          <w:p w14:paraId="6A4F019C">
            <w:pPr>
              <w:spacing w:line="360" w:lineRule="auto"/>
              <w:ind w:firstLine="480" w:firstLineChars="200"/>
              <w:rPr>
                <w:rFonts w:ascii="Times New Roman" w:hAnsi="Times New Roman" w:eastAsiaTheme="minorEastAsia"/>
                <w:color w:val="auto"/>
                <w:sz w:val="24"/>
                <w:szCs w:val="28"/>
              </w:rPr>
            </w:pPr>
            <w:r>
              <w:rPr>
                <w:rFonts w:hint="eastAsia" w:ascii="宋体" w:hAnsi="宋体" w:eastAsia="宋体" w:cs="宋体"/>
                <w:color w:val="auto"/>
                <w:sz w:val="24"/>
                <w:szCs w:val="28"/>
              </w:rPr>
              <w:t>⑦</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运行期间，应按国家有关标准和规定建立危险废物管理台账并保存。</w:t>
            </w:r>
          </w:p>
          <w:p w14:paraId="32A1D4E0">
            <w:pPr>
              <w:spacing w:line="360" w:lineRule="auto"/>
              <w:ind w:firstLine="480" w:firstLineChars="200"/>
              <w:rPr>
                <w:rFonts w:ascii="Times New Roman" w:hAnsi="Times New Roman" w:eastAsiaTheme="minorEastAsia"/>
                <w:color w:val="auto"/>
                <w:sz w:val="24"/>
              </w:rPr>
            </w:pPr>
            <w:r>
              <w:rPr>
                <w:rFonts w:ascii="Times New Roman" w:hAnsi="Times New Roman" w:eastAsiaTheme="minorEastAsia"/>
                <w:color w:val="auto"/>
                <w:sz w:val="24"/>
              </w:rPr>
              <w:t>综上所述，建设项目落实既定的固体废物污染防治措施，固体废物的贮存满足</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防风、防雨、防渗</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等国家相关标准规定的要求、可以有效防止二次污染；固体废物的利用和处理处置满足</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一般固体废物及危险废物妥善处置</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的要求，可以实现固体废物零排放。</w:t>
            </w:r>
          </w:p>
          <w:p w14:paraId="7A1B2002">
            <w:pPr>
              <w:keepNext/>
              <w:keepLines/>
              <w:pageBreakBefore w:val="0"/>
              <w:widowControl/>
              <w:numPr>
                <w:ilvl w:val="0"/>
                <w:numId w:val="10"/>
              </w:numPr>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地下水环境影响分析</w:t>
            </w:r>
          </w:p>
          <w:p w14:paraId="6D143CBB">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 xml:space="preserve">1、污染源、污染物类型 </w:t>
            </w:r>
          </w:p>
          <w:p w14:paraId="358FBA52">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 xml:space="preserve">项目地下水污染源主要为原料库、危险废物贮存库，污染物为原辅材料及危险废物。 </w:t>
            </w:r>
          </w:p>
          <w:p w14:paraId="6192FE26">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 xml:space="preserve">2、污染途径 </w:t>
            </w:r>
          </w:p>
          <w:p w14:paraId="2B361820">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通过现场勘查，现有项目已对发酵车间、危废暂存间采取重点防腐防渗措施，对厂区及库房地面做了基础防渗，采用水泥硬化并采用2mm厚高密度聚乙烯等人工材料进行防渗，同时在危废间内设置托盘，对事故状态下的危险废物泄漏物进行收集，可有效地防止污染物渗透到地下水，所以项目不存在地下水污染途径。</w:t>
            </w:r>
          </w:p>
          <w:p w14:paraId="45C462BC">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3、防控措施</w:t>
            </w:r>
          </w:p>
          <w:p w14:paraId="6C011ED1">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对本项目各建设工程单元可能泄漏污染物的地面进行防渗处理，可有效</w:t>
            </w:r>
            <w:r>
              <w:rPr>
                <w:rFonts w:hint="eastAsia" w:cs="Times New Roman"/>
                <w:color w:val="000000" w:themeColor="text1"/>
                <w:sz w:val="24"/>
                <w:szCs w:val="24"/>
                <w:lang w:val="en-US" w:eastAsia="zh-CN"/>
                <w14:textFill>
                  <w14:solidFill>
                    <w14:schemeClr w14:val="tx1"/>
                  </w14:solidFill>
                </w14:textFill>
              </w:rPr>
              <w:t>防止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渗入地下，并及时地将渗漏的污染物收集并进行集中处理。本项目将工程各功能单元可能产生污染的地区参照《环境影响评价技术导则地下水环境》（HJ610-2016）采取分区防渗措施。污染防治区分为重点防渗区和一般防渗区</w:t>
            </w:r>
            <w:r>
              <w:rPr>
                <w:rFonts w:hint="default" w:ascii="Times New Roman" w:hAnsi="Times New Roman" w:cs="Times New Roman" w:eastAsiaTheme="minorEastAsia"/>
                <w:color w:val="auto"/>
                <w:sz w:val="24"/>
                <w:lang w:val="en-US" w:eastAsia="zh-CN"/>
              </w:rPr>
              <w:t>。分区防渗表见表4-</w:t>
            </w:r>
            <w:r>
              <w:rPr>
                <w:rFonts w:hint="eastAsia" w:ascii="Times New Roman" w:hAnsi="Times New Roman" w:cs="Times New Roman" w:eastAsiaTheme="minorEastAsia"/>
                <w:color w:val="auto"/>
                <w:sz w:val="24"/>
                <w:lang w:val="en-US" w:eastAsia="zh-CN"/>
              </w:rPr>
              <w:t>14</w:t>
            </w:r>
            <w:r>
              <w:rPr>
                <w:rFonts w:hint="default" w:ascii="Times New Roman" w:hAnsi="Times New Roman" w:cs="Times New Roman" w:eastAsiaTheme="minorEastAsia"/>
                <w:color w:val="auto"/>
                <w:sz w:val="24"/>
                <w:lang w:val="en-US" w:eastAsia="zh-CN"/>
              </w:rPr>
              <w:t>，分区防渗图见</w:t>
            </w:r>
            <w:r>
              <w:rPr>
                <w:rFonts w:hint="eastAsia" w:ascii="Times New Roman" w:hAnsi="Times New Roman" w:cs="Times New Roman" w:eastAsiaTheme="minorEastAsia"/>
                <w:color w:val="auto"/>
                <w:sz w:val="24"/>
                <w:lang w:val="en-US" w:eastAsia="zh-CN"/>
              </w:rPr>
              <w:t>附图5</w:t>
            </w:r>
            <w:r>
              <w:rPr>
                <w:rFonts w:hint="default" w:ascii="Times New Roman" w:hAnsi="Times New Roman" w:cs="Times New Roman" w:eastAsiaTheme="minorEastAsia"/>
                <w:color w:val="auto"/>
                <w:sz w:val="24"/>
                <w:lang w:val="en-US" w:eastAsia="zh-CN"/>
              </w:rPr>
              <w:t>。</w:t>
            </w:r>
          </w:p>
          <w:p w14:paraId="66B508CD">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2"/>
                <w:szCs w:val="22"/>
                <w:vertAlign w:val="baseline"/>
                <w:lang w:val="en-US"/>
                <w14:textFill>
                  <w14:solidFill>
                    <w14:schemeClr w14:val="tx1"/>
                  </w14:solidFill>
                </w14:textFill>
              </w:rPr>
            </w:pPr>
            <w:r>
              <w:rPr>
                <w:rFonts w:hint="default" w:ascii="Times New Roman" w:hAnsi="Times New Roman" w:eastAsia="宋体" w:cs="Times New Roman"/>
                <w:b/>
                <w:bCs/>
                <w:color w:val="000000" w:themeColor="text1"/>
                <w:sz w:val="22"/>
                <w:szCs w:val="22"/>
                <w:lang w:val="en-US" w:eastAsia="zh-CN"/>
                <w14:textFill>
                  <w14:solidFill>
                    <w14:schemeClr w14:val="tx1"/>
                  </w14:solidFill>
                </w14:textFill>
              </w:rPr>
              <w:t>表4-</w:t>
            </w:r>
            <w:r>
              <w:rPr>
                <w:rFonts w:hint="eastAsia" w:cs="Times New Roman"/>
                <w:b/>
                <w:bCs/>
                <w:color w:val="000000" w:themeColor="text1"/>
                <w:sz w:val="22"/>
                <w:szCs w:val="22"/>
                <w:lang w:val="en-US" w:eastAsia="zh-CN"/>
                <w14:textFill>
                  <w14:solidFill>
                    <w14:schemeClr w14:val="tx1"/>
                  </w14:solidFill>
                </w14:textFill>
              </w:rPr>
              <w:t xml:space="preserve">14  </w:t>
            </w:r>
            <w:r>
              <w:rPr>
                <w:rFonts w:hint="default" w:ascii="Times New Roman" w:hAnsi="Times New Roman" w:eastAsia="宋体" w:cs="Times New Roman"/>
                <w:b/>
                <w:bCs/>
                <w:color w:val="000000" w:themeColor="text1"/>
                <w:sz w:val="22"/>
                <w:szCs w:val="22"/>
                <w:lang w:val="en-US" w:eastAsia="zh-CN"/>
                <w14:textFill>
                  <w14:solidFill>
                    <w14:schemeClr w14:val="tx1"/>
                  </w14:solidFill>
                </w14:textFill>
              </w:rPr>
              <w:t>本项目防渗分区一览表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89"/>
              <w:gridCol w:w="2197"/>
              <w:gridCol w:w="1982"/>
              <w:gridCol w:w="1953"/>
            </w:tblGrid>
            <w:tr w14:paraId="7BFE8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tl2br w:val="nil"/>
                    <w:tr2bl w:val="nil"/>
                  </w:tcBorders>
                  <w:noWrap w:val="0"/>
                  <w:vAlign w:val="center"/>
                </w:tcPr>
                <w:p w14:paraId="1653B8D4">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841" w:type="pct"/>
                  <w:tcBorders>
                    <w:tl2br w:val="nil"/>
                    <w:tr2bl w:val="nil"/>
                  </w:tcBorders>
                  <w:noWrap w:val="0"/>
                  <w:vAlign w:val="center"/>
                </w:tcPr>
                <w:p w14:paraId="7A8A8EA2">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防渗分区</w:t>
                  </w:r>
                </w:p>
              </w:tc>
              <w:tc>
                <w:tcPr>
                  <w:tcW w:w="1330" w:type="pct"/>
                  <w:tcBorders>
                    <w:tl2br w:val="nil"/>
                    <w:tr2bl w:val="nil"/>
                  </w:tcBorders>
                  <w:noWrap w:val="0"/>
                  <w:vAlign w:val="center"/>
                </w:tcPr>
                <w:p w14:paraId="0FC7D1E2">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位置</w:t>
                  </w:r>
                </w:p>
              </w:tc>
              <w:tc>
                <w:tcPr>
                  <w:tcW w:w="1200" w:type="pct"/>
                  <w:tcBorders>
                    <w:tl2br w:val="nil"/>
                    <w:tr2bl w:val="nil"/>
                  </w:tcBorders>
                  <w:noWrap w:val="0"/>
                  <w:vAlign w:val="center"/>
                </w:tcPr>
                <w:p w14:paraId="3BBA5B25">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防渗措施</w:t>
                  </w:r>
                </w:p>
              </w:tc>
              <w:tc>
                <w:tcPr>
                  <w:tcW w:w="1182" w:type="pct"/>
                  <w:tcBorders>
                    <w:tl2br w:val="nil"/>
                    <w:tr2bl w:val="nil"/>
                  </w:tcBorders>
                  <w:noWrap w:val="0"/>
                  <w:vAlign w:val="center"/>
                </w:tcPr>
                <w:p w14:paraId="1FC3E29E">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防渗技术要求</w:t>
                  </w:r>
                </w:p>
              </w:tc>
            </w:tr>
            <w:tr w14:paraId="05261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tl2br w:val="nil"/>
                    <w:tr2bl w:val="nil"/>
                  </w:tcBorders>
                  <w:noWrap w:val="0"/>
                  <w:vAlign w:val="center"/>
                </w:tcPr>
                <w:p w14:paraId="428CCA0C">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841" w:type="pct"/>
                  <w:tcBorders>
                    <w:tl2br w:val="nil"/>
                    <w:tr2bl w:val="nil"/>
                  </w:tcBorders>
                  <w:noWrap w:val="0"/>
                  <w:vAlign w:val="center"/>
                </w:tcPr>
                <w:p w14:paraId="7BBB5E9E">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重点防渗区</w:t>
                  </w:r>
                </w:p>
              </w:tc>
              <w:tc>
                <w:tcPr>
                  <w:tcW w:w="1330" w:type="pct"/>
                  <w:tcBorders>
                    <w:tl2br w:val="nil"/>
                    <w:tr2bl w:val="nil"/>
                  </w:tcBorders>
                  <w:noWrap w:val="0"/>
                  <w:vAlign w:val="center"/>
                </w:tcPr>
                <w:p w14:paraId="4AE944C1">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发酵车间</w:t>
                  </w:r>
                </w:p>
              </w:tc>
              <w:tc>
                <w:tcPr>
                  <w:tcW w:w="1200" w:type="pct"/>
                  <w:tcBorders>
                    <w:tl2br w:val="nil"/>
                    <w:tr2bl w:val="nil"/>
                  </w:tcBorders>
                  <w:noWrap w:val="0"/>
                  <w:vAlign w:val="center"/>
                </w:tcPr>
                <w:p w14:paraId="4CE0B7FD">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防渗混凝土</w:t>
                  </w:r>
                </w:p>
                <w:p w14:paraId="02926110">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+2mmHDPE土工膜进行防渗处理</w:t>
                  </w:r>
                </w:p>
              </w:tc>
              <w:tc>
                <w:tcPr>
                  <w:tcW w:w="1182" w:type="pct"/>
                  <w:tcBorders>
                    <w:tl2br w:val="nil"/>
                    <w:tr2bl w:val="nil"/>
                  </w:tcBorders>
                  <w:noWrap w:val="0"/>
                  <w:vAlign w:val="center"/>
                </w:tcPr>
                <w:p w14:paraId="0DA7A8F5">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等效黏土防渗层</w:t>
                  </w:r>
                </w:p>
                <w:p w14:paraId="087054A1">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Mb≥6.0m，渗透系数K≤1×10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 cm/s</w:t>
                  </w:r>
                </w:p>
              </w:tc>
            </w:tr>
            <w:tr w14:paraId="00583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tl2br w:val="nil"/>
                    <w:tr2bl w:val="nil"/>
                  </w:tcBorders>
                  <w:noWrap w:val="0"/>
                  <w:vAlign w:val="center"/>
                </w:tcPr>
                <w:p w14:paraId="3A5F029D">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841" w:type="pct"/>
                  <w:tcBorders>
                    <w:tl2br w:val="nil"/>
                    <w:tr2bl w:val="nil"/>
                  </w:tcBorders>
                  <w:noWrap w:val="0"/>
                  <w:vAlign w:val="center"/>
                </w:tcPr>
                <w:p w14:paraId="004B8099">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一般防渗区</w:t>
                  </w:r>
                </w:p>
              </w:tc>
              <w:tc>
                <w:tcPr>
                  <w:tcW w:w="1330" w:type="pct"/>
                  <w:tcBorders>
                    <w:tl2br w:val="nil"/>
                    <w:tr2bl w:val="nil"/>
                  </w:tcBorders>
                  <w:noWrap w:val="0"/>
                  <w:vAlign w:val="center"/>
                </w:tcPr>
                <w:p w14:paraId="20B08D63">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生产车间</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、一般固废暂存区</w:t>
                  </w:r>
                </w:p>
              </w:tc>
              <w:tc>
                <w:tcPr>
                  <w:tcW w:w="1200" w:type="pct"/>
                  <w:tcBorders>
                    <w:tl2br w:val="nil"/>
                    <w:tr2bl w:val="nil"/>
                  </w:tcBorders>
                  <w:noWrap w:val="0"/>
                  <w:vAlign w:val="center"/>
                </w:tcPr>
                <w:p w14:paraId="0EEA4477">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t>混凝土进行防渗处理，防渗系数≤10</w:t>
                  </w:r>
                  <w:r>
                    <w:rPr>
                      <w:rFonts w:hint="default" w:ascii="Times New Roman" w:hAnsi="Times New Roman" w:eastAsia="宋体" w:cs="Times New Roman"/>
                      <w:color w:val="000000" w:themeColor="text1"/>
                      <w:sz w:val="21"/>
                      <w:szCs w:val="21"/>
                      <w:vertAlign w:val="superscript"/>
                      <w:lang w:val="en-US"/>
                      <w14:textFill>
                        <w14:solidFill>
                          <w14:schemeClr w14:val="tx1"/>
                        </w14:solidFill>
                      </w14:textFill>
                    </w:rPr>
                    <w:t>-7</w:t>
                  </w:r>
                  <w:r>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t>cm/s</w:t>
                  </w:r>
                </w:p>
              </w:tc>
              <w:tc>
                <w:tcPr>
                  <w:tcW w:w="1182" w:type="pct"/>
                  <w:tcBorders>
                    <w:tl2br w:val="nil"/>
                    <w:tr2bl w:val="nil"/>
                  </w:tcBorders>
                  <w:noWrap w:val="0"/>
                  <w:vAlign w:val="center"/>
                </w:tcPr>
                <w:p w14:paraId="2DCF121B">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t>等效黏土防渗层</w:t>
                  </w:r>
                </w:p>
                <w:p w14:paraId="514DBABF">
                  <w:pPr>
                    <w:keepNext/>
                    <w:keepLines/>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t>Mb≥1.5m，渗透系数K≤1×10</w:t>
                  </w:r>
                  <w:r>
                    <w:rPr>
                      <w:rFonts w:hint="default" w:ascii="Times New Roman" w:hAnsi="Times New Roman" w:eastAsia="宋体" w:cs="Times New Roman"/>
                      <w:color w:val="000000" w:themeColor="text1"/>
                      <w:sz w:val="21"/>
                      <w:szCs w:val="21"/>
                      <w:vertAlign w:val="superscript"/>
                      <w:lang w:val="en-US"/>
                      <w14:textFill>
                        <w14:solidFill>
                          <w14:schemeClr w14:val="tx1"/>
                        </w14:solidFill>
                      </w14:textFill>
                    </w:rPr>
                    <w:t>-7</w:t>
                  </w:r>
                  <w:r>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t>cm/s</w:t>
                  </w:r>
                </w:p>
              </w:tc>
            </w:tr>
          </w:tbl>
          <w:p w14:paraId="251FD94C">
            <w:pPr>
              <w:widowControl/>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4、跟踪监测要求</w:t>
            </w:r>
          </w:p>
          <w:p w14:paraId="00C07555">
            <w:pPr>
              <w:widowControl/>
              <w:spacing w:line="360" w:lineRule="auto"/>
              <w:ind w:firstLine="480" w:firstLineChars="200"/>
              <w:rPr>
                <w:rFonts w:hint="default"/>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所述，本项目对可能产生地下水影响的各项途径均进行有效预防，在确保各项防渗措施得以落实，并加强维护和厂区环境管理的前提下，可有效控制厂区内的污染物渗漏，避免污染地下水，项目运营期可不设置跟踪监测要求。</w:t>
            </w:r>
          </w:p>
          <w:p w14:paraId="48D0EE2A">
            <w:pPr>
              <w:keepNext/>
              <w:keepLines/>
              <w:pageBreakBefore w:val="0"/>
              <w:widowControl/>
              <w:numPr>
                <w:ilvl w:val="0"/>
                <w:numId w:val="10"/>
              </w:numPr>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default" w:ascii="Times New Roman" w:hAnsi="Times New Roman" w:cs="Times New Roman"/>
                <w:b/>
                <w:bCs/>
                <w:color w:val="000000" w:themeColor="text1"/>
                <w:spacing w:val="-4"/>
                <w:sz w:val="24"/>
                <w:szCs w:val="24"/>
                <w:lang w:val="en-US" w:eastAsia="zh-CN"/>
                <w14:textFill>
                  <w14:solidFill>
                    <w14:schemeClr w14:val="tx1"/>
                  </w14:solidFill>
                </w14:textFill>
              </w:rPr>
              <w:t>土壤</w:t>
            </w:r>
            <w:r>
              <w:rPr>
                <w:rFonts w:hint="default" w:ascii="Times New Roman" w:hAnsi="Times New Roman" w:eastAsia="宋体" w:cs="Times New Roman"/>
                <w:b/>
                <w:bCs/>
                <w:color w:val="000000" w:themeColor="text1"/>
                <w:spacing w:val="-4"/>
                <w:sz w:val="24"/>
                <w:szCs w:val="24"/>
                <w14:textFill>
                  <w14:solidFill>
                    <w14:schemeClr w14:val="tx1"/>
                  </w14:solidFill>
                </w14:textFill>
              </w:rPr>
              <w:t>环境影响分析</w:t>
            </w:r>
          </w:p>
          <w:p w14:paraId="762968B3">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根据《建设项目环境影响编制指南》（污染影响类），结合项目工艺特点分析地下水、土壤污染源类型和污染途径，如有污染途径，按照防控要求提出相应的防控措施。</w:t>
            </w:r>
          </w:p>
          <w:p w14:paraId="79C3CE06">
            <w:pPr>
              <w:widowControl/>
              <w:adjustRightInd w:val="0"/>
              <w:snapToGrid w:val="0"/>
              <w:spacing w:line="360" w:lineRule="auto"/>
              <w:ind w:firstLine="480" w:firstLineChars="200"/>
              <w:jc w:val="left"/>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（1）</w:t>
            </w:r>
            <w:r>
              <w:rPr>
                <w:rFonts w:hint="default" w:ascii="Times New Roman" w:hAnsi="Times New Roman" w:cs="Times New Roman"/>
                <w:b w:val="0"/>
                <w:bCs w:val="0"/>
                <w:color w:val="000000" w:themeColor="text1"/>
                <w:sz w:val="24"/>
                <w:lang w:val="en-US" w:eastAsia="zh-CN"/>
                <w14:textFill>
                  <w14:solidFill>
                    <w14:schemeClr w14:val="tx1"/>
                  </w14:solidFill>
                </w14:textFill>
              </w:rPr>
              <w:t>污染源及污染类型</w:t>
            </w:r>
          </w:p>
          <w:p w14:paraId="08AD2FD8">
            <w:pPr>
              <w:widowControl/>
              <w:spacing w:line="440" w:lineRule="exact"/>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eastAsia" w:ascii="Times New Roman" w:hAnsi="Times New Roman" w:cs="Times New Roman"/>
                <w:b/>
                <w:color w:val="000000" w:themeColor="text1"/>
                <w:sz w:val="24"/>
                <w:lang w:val="en-US" w:eastAsia="zh-CN"/>
                <w14:textFill>
                  <w14:solidFill>
                    <w14:schemeClr w14:val="tx1"/>
                  </w14:solidFill>
                </w14:textFill>
              </w:rPr>
              <w:t>1</w:t>
            </w:r>
            <w:r>
              <w:rPr>
                <w:rFonts w:hint="eastAsia"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14:textFill>
                  <w14:solidFill>
                    <w14:schemeClr w14:val="tx1"/>
                  </w14:solidFill>
                </w14:textFill>
              </w:rPr>
              <w:t xml:space="preserve"> </w:t>
            </w:r>
            <w:r>
              <w:rPr>
                <w:rFonts w:hint="default" w:ascii="Times New Roman" w:hAnsi="Times New Roman" w:cs="Times New Roman"/>
                <w:b/>
                <w:color w:val="000000" w:themeColor="text1"/>
                <w:sz w:val="24"/>
                <w:lang w:val="en-US" w:eastAsia="zh-CN"/>
                <w14:textFill>
                  <w14:solidFill>
                    <w14:schemeClr w14:val="tx1"/>
                  </w14:solidFill>
                </w14:textFill>
              </w:rPr>
              <w:t>地下水、</w:t>
            </w:r>
            <w:r>
              <w:rPr>
                <w:rFonts w:hint="default" w:ascii="Times New Roman" w:hAnsi="Times New Roman" w:cs="Times New Roman"/>
                <w:b/>
                <w:color w:val="000000" w:themeColor="text1"/>
                <w:sz w:val="24"/>
                <w14:textFill>
                  <w14:solidFill>
                    <w14:schemeClr w14:val="tx1"/>
                  </w14:solidFill>
                </w14:textFill>
              </w:rPr>
              <w:t>土壤污染源识别</w:t>
            </w:r>
          </w:p>
          <w:tbl>
            <w:tblPr>
              <w:tblStyle w:val="22"/>
              <w:tblW w:w="4998" w:type="pct"/>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41"/>
              <w:gridCol w:w="2355"/>
              <w:gridCol w:w="2880"/>
              <w:gridCol w:w="2378"/>
            </w:tblGrid>
            <w:tr w14:paraId="38873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8" w:type="pct"/>
                  <w:tcBorders>
                    <w:tl2br w:val="nil"/>
                    <w:tr2bl w:val="nil"/>
                  </w:tcBorders>
                  <w:noWrap w:val="0"/>
                  <w:vAlign w:val="center"/>
                </w:tcPr>
                <w:p w14:paraId="7B7023E6">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1426" w:type="pct"/>
                  <w:tcBorders>
                    <w:tl2br w:val="nil"/>
                    <w:tr2bl w:val="nil"/>
                  </w:tcBorders>
                  <w:noWrap w:val="0"/>
                  <w:vAlign w:val="center"/>
                </w:tcPr>
                <w:p w14:paraId="3B75A711">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污染源</w:t>
                  </w:r>
                </w:p>
              </w:tc>
              <w:tc>
                <w:tcPr>
                  <w:tcW w:w="1744" w:type="pct"/>
                  <w:tcBorders>
                    <w:tl2br w:val="nil"/>
                    <w:tr2bl w:val="nil"/>
                  </w:tcBorders>
                  <w:noWrap w:val="0"/>
                  <w:vAlign w:val="center"/>
                </w:tcPr>
                <w:p w14:paraId="2EDA4488">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污染物类型</w:t>
                  </w:r>
                </w:p>
              </w:tc>
              <w:tc>
                <w:tcPr>
                  <w:tcW w:w="1440" w:type="pct"/>
                  <w:tcBorders>
                    <w:tl2br w:val="nil"/>
                    <w:tr2bl w:val="nil"/>
                  </w:tcBorders>
                  <w:noWrap w:val="0"/>
                  <w:vAlign w:val="center"/>
                </w:tcPr>
                <w:p w14:paraId="42DED188">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w:t>
                  </w:r>
                </w:p>
              </w:tc>
            </w:tr>
            <w:tr w14:paraId="747A42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8" w:type="pct"/>
                  <w:tcBorders>
                    <w:tl2br w:val="nil"/>
                    <w:tr2bl w:val="nil"/>
                  </w:tcBorders>
                  <w:noWrap w:val="0"/>
                  <w:vAlign w:val="center"/>
                </w:tcPr>
                <w:p w14:paraId="4A8D1F7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426" w:type="pct"/>
                  <w:tcBorders>
                    <w:tl2br w:val="nil"/>
                    <w:tr2bl w:val="nil"/>
                  </w:tcBorders>
                  <w:noWrap w:val="0"/>
                  <w:vAlign w:val="center"/>
                </w:tcPr>
                <w:p w14:paraId="06197F5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发酵车间</w:t>
                  </w:r>
                </w:p>
              </w:tc>
              <w:tc>
                <w:tcPr>
                  <w:tcW w:w="1744" w:type="pct"/>
                  <w:tcBorders>
                    <w:tl2br w:val="nil"/>
                    <w:tr2bl w:val="nil"/>
                  </w:tcBorders>
                  <w:noWrap w:val="0"/>
                  <w:vAlign w:val="center"/>
                </w:tcPr>
                <w:p w14:paraId="0D4C0B3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垂直入渗</w:t>
                  </w:r>
                </w:p>
              </w:tc>
              <w:tc>
                <w:tcPr>
                  <w:tcW w:w="1440" w:type="pct"/>
                  <w:tcBorders>
                    <w:tl2br w:val="nil"/>
                    <w:tr2bl w:val="nil"/>
                  </w:tcBorders>
                  <w:noWrap w:val="0"/>
                  <w:vAlign w:val="center"/>
                </w:tcPr>
                <w:p w14:paraId="4C76B20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COD、氨氮等</w:t>
                  </w:r>
                </w:p>
              </w:tc>
            </w:tr>
            <w:tr w14:paraId="5E84D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8" w:type="pct"/>
                  <w:tcBorders>
                    <w:tl2br w:val="nil"/>
                    <w:tr2bl w:val="nil"/>
                  </w:tcBorders>
                  <w:noWrap w:val="0"/>
                  <w:vAlign w:val="center"/>
                </w:tcPr>
                <w:p w14:paraId="529B987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1426" w:type="pct"/>
                  <w:tcBorders>
                    <w:tl2br w:val="nil"/>
                    <w:tr2bl w:val="nil"/>
                  </w:tcBorders>
                  <w:noWrap w:val="0"/>
                  <w:vAlign w:val="center"/>
                </w:tcPr>
                <w:p w14:paraId="3D4C55E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生产车间</w:t>
                  </w:r>
                </w:p>
              </w:tc>
              <w:tc>
                <w:tcPr>
                  <w:tcW w:w="1744" w:type="pct"/>
                  <w:tcBorders>
                    <w:tl2br w:val="nil"/>
                    <w:tr2bl w:val="nil"/>
                  </w:tcBorders>
                  <w:noWrap w:val="0"/>
                  <w:vAlign w:val="center"/>
                </w:tcPr>
                <w:p w14:paraId="068B072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大气沉降</w:t>
                  </w:r>
                </w:p>
              </w:tc>
              <w:tc>
                <w:tcPr>
                  <w:tcW w:w="1440" w:type="pct"/>
                  <w:tcBorders>
                    <w:tl2br w:val="nil"/>
                    <w:tr2bl w:val="nil"/>
                  </w:tcBorders>
                  <w:noWrap w:val="0"/>
                  <w:vAlign w:val="center"/>
                </w:tcPr>
                <w:p w14:paraId="51F4881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r>
            <w:tr w14:paraId="48AE6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8" w:type="pct"/>
                  <w:tcBorders>
                    <w:tl2br w:val="nil"/>
                    <w:tr2bl w:val="nil"/>
                  </w:tcBorders>
                  <w:noWrap w:val="0"/>
                  <w:vAlign w:val="center"/>
                </w:tcPr>
                <w:p w14:paraId="473F00F5">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2355" w:type="dxa"/>
                  <w:tcBorders>
                    <w:tl2br w:val="nil"/>
                    <w:tr2bl w:val="nil"/>
                  </w:tcBorders>
                  <w:noWrap w:val="0"/>
                  <w:vAlign w:val="center"/>
                </w:tcPr>
                <w:p w14:paraId="7826EDD9">
                  <w:pPr>
                    <w:jc w:val="center"/>
                    <w:rPr>
                      <w:rFonts w:hint="eastAsia" w:cs="Times New Roman"/>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危险废物贮存库</w:t>
                  </w:r>
                </w:p>
              </w:tc>
              <w:tc>
                <w:tcPr>
                  <w:tcW w:w="2880" w:type="dxa"/>
                  <w:tcBorders>
                    <w:tl2br w:val="nil"/>
                    <w:tr2bl w:val="nil"/>
                  </w:tcBorders>
                  <w:noWrap w:val="0"/>
                  <w:vAlign w:val="center"/>
                </w:tcPr>
                <w:p w14:paraId="6A4E97BB">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垂直入渗</w:t>
                  </w:r>
                </w:p>
              </w:tc>
              <w:tc>
                <w:tcPr>
                  <w:tcW w:w="2378" w:type="dxa"/>
                  <w:tcBorders>
                    <w:tl2br w:val="nil"/>
                    <w:tr2bl w:val="nil"/>
                  </w:tcBorders>
                  <w:noWrap w:val="0"/>
                  <w:vAlign w:val="center"/>
                </w:tcPr>
                <w:p w14:paraId="6E062D73">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石油类</w:t>
                  </w:r>
                </w:p>
              </w:tc>
            </w:tr>
          </w:tbl>
          <w:p w14:paraId="7A932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污染途径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及防控措施</w:t>
            </w:r>
          </w:p>
          <w:p w14:paraId="46F1615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污染途径：</w:t>
            </w:r>
          </w:p>
          <w:p w14:paraId="032E91E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w:t>
            </w:r>
            <w:r>
              <w:rPr>
                <w:rFonts w:hint="eastAsia" w:cs="Times New Roman"/>
                <w:color w:val="000000" w:themeColor="text1"/>
                <w:sz w:val="24"/>
                <w:szCs w:val="24"/>
                <w:lang w:val="en-US" w:eastAsia="zh-CN"/>
                <w14:textFill>
                  <w14:solidFill>
                    <w14:schemeClr w14:val="tx1"/>
                  </w14:solidFill>
                </w14:textFill>
              </w:rPr>
              <w:t>生产车间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均已硬化，生产过程产生的粉尘无组织逸散至外界，经自然沉降至周边土壤表面，但本项目</w:t>
            </w:r>
            <w:r>
              <w:rPr>
                <w:rFonts w:hint="default" w:ascii="Times New Roman" w:hAnsi="Times New Roman" w:cs="Times New Roman"/>
                <w:color w:val="000000" w:themeColor="text1"/>
                <w:sz w:val="24"/>
                <w:szCs w:val="24"/>
                <w:lang w:val="en-US" w:eastAsia="zh-CN"/>
                <w14:textFill>
                  <w14:solidFill>
                    <w14:schemeClr w14:val="tx1"/>
                  </w14:solidFill>
                </w14:textFill>
              </w:rPr>
              <w:t>的粉尘主要为农作物秸秆，经自然沉降至外环境可被土壤中的微生物分解为植物所需的养分，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故对周边土壤基本无污染。</w:t>
            </w:r>
          </w:p>
          <w:p w14:paraId="02DD528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防控措施：</w:t>
            </w:r>
          </w:p>
          <w:p w14:paraId="36FB92B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本项目生产车间、危废</w:t>
            </w:r>
            <w:r>
              <w:rPr>
                <w:rFonts w:hint="eastAsia" w:cs="Times New Roman"/>
                <w:color w:val="auto"/>
                <w:sz w:val="24"/>
                <w:szCs w:val="24"/>
                <w:highlight w:val="none"/>
                <w:lang w:val="en-US" w:eastAsia="zh-CN"/>
              </w:rPr>
              <w:t>贮存库</w:t>
            </w:r>
            <w:r>
              <w:rPr>
                <w:rFonts w:hint="eastAsia" w:ascii="Times New Roman" w:hAnsi="Times New Roman" w:eastAsia="宋体" w:cs="Times New Roman"/>
                <w:color w:val="auto"/>
                <w:sz w:val="24"/>
                <w:szCs w:val="24"/>
                <w:highlight w:val="none"/>
                <w:lang w:val="en-US" w:eastAsia="zh-CN"/>
              </w:rPr>
              <w:t>等均采用“源头控制”、“分区防控”的防渗措施，可以有效保证污染物不进入土壤环境，防止污染土壤。</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建设单位在生产过程中加强管理，尤其是发酵车间发酵池、渗滤液池等保证完好。生产过程尽量关闭门窗，减少无组织粉尘的逸散，加强污染治理设施的管理，确保各项污染设施正常运行。</w:t>
            </w:r>
          </w:p>
          <w:p w14:paraId="3B24CA1F">
            <w:pPr>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eastAsia" w:cs="Times New Roman"/>
                <w:b/>
                <w:bCs/>
                <w:color w:val="000000" w:themeColor="text1"/>
                <w:sz w:val="24"/>
                <w:szCs w:val="24"/>
                <w:lang w:val="en-US" w:eastAsia="zh-CN" w:bidi="ar"/>
                <w14:textFill>
                  <w14:solidFill>
                    <w14:schemeClr w14:val="tx1"/>
                  </w14:solidFill>
                </w14:textFill>
              </w:rPr>
              <w:t>七</w:t>
            </w: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、环境风险分析</w:t>
            </w:r>
          </w:p>
          <w:p w14:paraId="11AA02A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eastAsia="zh-CN"/>
              </w:rPr>
              <w:t>危险物质和风险等级评判</w:t>
            </w:r>
          </w:p>
          <w:p w14:paraId="494E706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依据《建设项目环境风险评价技术导则》（HJ169-2018）要求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结合《企业突发环境事件风险分级方法HJ941-2018》附录A第四部分，</w:t>
            </w:r>
            <w:r>
              <w:rPr>
                <w:rFonts w:hint="default" w:ascii="Times New Roman" w:hAnsi="Times New Roman" w:eastAsia="宋体" w:cs="Times New Roman"/>
                <w:color w:val="auto"/>
                <w:sz w:val="24"/>
                <w:szCs w:val="24"/>
              </w:rPr>
              <w:t>本项目生产、使用、储存过程中涉及</w:t>
            </w:r>
            <w:r>
              <w:rPr>
                <w:rFonts w:hint="default" w:ascii="Times New Roman" w:hAnsi="Times New Roman" w:eastAsia="宋体" w:cs="Times New Roman"/>
                <w:color w:val="auto"/>
                <w:sz w:val="24"/>
                <w:szCs w:val="24"/>
                <w:lang w:eastAsia="zh-CN"/>
              </w:rPr>
              <w:t>易燃液态物质</w:t>
            </w:r>
            <w:r>
              <w:rPr>
                <w:rFonts w:hint="eastAsia" w:ascii="Times New Roman" w:hAnsi="Times New Roman" w:eastAsia="宋体" w:cs="Times New Roman"/>
                <w:color w:val="auto"/>
                <w:sz w:val="24"/>
                <w:szCs w:val="24"/>
                <w:lang w:eastAsia="zh-CN"/>
              </w:rPr>
              <w:t>废</w:t>
            </w:r>
            <w:r>
              <w:rPr>
                <w:rFonts w:hint="eastAsia" w:cs="Times New Roman"/>
                <w:color w:val="auto"/>
                <w:sz w:val="24"/>
                <w:szCs w:val="24"/>
                <w:lang w:eastAsia="zh-CN"/>
              </w:rPr>
              <w:t>液压油</w:t>
            </w:r>
            <w:r>
              <w:rPr>
                <w:rFonts w:hint="default" w:ascii="Times New Roman" w:hAnsi="Times New Roman" w:eastAsia="宋体" w:cs="Times New Roman"/>
                <w:color w:val="auto"/>
                <w:sz w:val="24"/>
                <w:szCs w:val="24"/>
                <w:lang w:val="en-US" w:eastAsia="zh-CN"/>
              </w:rPr>
              <w:t>，主要对危废暂存间</w:t>
            </w:r>
            <w:r>
              <w:rPr>
                <w:rFonts w:hint="eastAsia"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液压油</w:t>
            </w:r>
            <w:r>
              <w:rPr>
                <w:rFonts w:hint="default" w:ascii="Times New Roman" w:hAnsi="Times New Roman" w:eastAsia="宋体" w:cs="Times New Roman"/>
                <w:color w:val="auto"/>
                <w:sz w:val="24"/>
                <w:szCs w:val="24"/>
                <w:lang w:val="en-US" w:eastAsia="zh-CN"/>
              </w:rPr>
              <w:t>最大储存量</w:t>
            </w:r>
            <w:r>
              <w:rPr>
                <w:rFonts w:hint="default" w:ascii="Times New Roman" w:hAnsi="Times New Roman" w:eastAsia="宋体" w:cs="Times New Roman"/>
                <w:color w:val="auto"/>
                <w:sz w:val="24"/>
                <w:szCs w:val="24"/>
                <w:lang w:eastAsia="zh-CN"/>
              </w:rPr>
              <w:t>进行风险分析，具体危险特性及分</w:t>
            </w:r>
            <w:r>
              <w:rPr>
                <w:rFonts w:hint="eastAsia" w:cs="Times New Roman"/>
                <w:color w:val="auto"/>
                <w:sz w:val="24"/>
                <w:szCs w:val="24"/>
                <w:lang w:val="en-US" w:eastAsia="zh-CN"/>
              </w:rPr>
              <w:t>布</w:t>
            </w:r>
            <w:r>
              <w:rPr>
                <w:rFonts w:hint="default" w:ascii="Times New Roman" w:hAnsi="Times New Roman" w:eastAsia="宋体" w:cs="Times New Roman"/>
                <w:color w:val="auto"/>
                <w:sz w:val="24"/>
                <w:szCs w:val="24"/>
                <w:lang w:eastAsia="zh-CN"/>
              </w:rPr>
              <w:t>情况见下表：</w:t>
            </w:r>
          </w:p>
          <w:p w14:paraId="465A54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de-DE" w:eastAsia="zh-CN" w:bidi="ar-SA"/>
              </w:rPr>
            </w:pPr>
            <w:r>
              <w:rPr>
                <w:rFonts w:hint="default" w:ascii="Times New Roman" w:hAnsi="Times New Roman" w:eastAsia="宋体" w:cs="Times New Roman"/>
                <w:b/>
                <w:bCs/>
                <w:color w:val="auto"/>
                <w:kern w:val="2"/>
                <w:sz w:val="21"/>
                <w:szCs w:val="21"/>
                <w:lang w:val="de-DE" w:eastAsia="zh-CN" w:bidi="ar-SA"/>
              </w:rPr>
              <w:t>表4-</w:t>
            </w:r>
            <w:r>
              <w:rPr>
                <w:rFonts w:hint="eastAsia" w:ascii="Times New Roman" w:hAnsi="Times New Roman" w:eastAsia="宋体" w:cs="Times New Roman"/>
                <w:b/>
                <w:bCs/>
                <w:color w:val="auto"/>
                <w:kern w:val="2"/>
                <w:sz w:val="21"/>
                <w:szCs w:val="21"/>
                <w:lang w:val="en-US" w:eastAsia="zh-CN" w:bidi="ar-SA"/>
              </w:rPr>
              <w:t>11</w:t>
            </w:r>
            <w:r>
              <w:rPr>
                <w:rFonts w:hint="eastAsia"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de-DE" w:eastAsia="zh-CN" w:bidi="ar-SA"/>
              </w:rPr>
              <w:t>主要危险物质年用量及存储量一览表</w:t>
            </w:r>
          </w:p>
          <w:tbl>
            <w:tblPr>
              <w:tblStyle w:val="23"/>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1825"/>
              <w:gridCol w:w="1828"/>
              <w:gridCol w:w="1005"/>
              <w:gridCol w:w="1630"/>
            </w:tblGrid>
            <w:tr w14:paraId="1FC5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Borders>
                    <w:tl2br w:val="nil"/>
                    <w:tr2bl w:val="nil"/>
                  </w:tcBorders>
                  <w:noWrap w:val="0"/>
                  <w:vAlign w:val="center"/>
                </w:tcPr>
                <w:p w14:paraId="17935DBE">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危险物质名称</w:t>
                  </w:r>
                </w:p>
              </w:tc>
              <w:tc>
                <w:tcPr>
                  <w:tcW w:w="1825" w:type="dxa"/>
                  <w:tcBorders>
                    <w:tl2br w:val="nil"/>
                    <w:tr2bl w:val="nil"/>
                  </w:tcBorders>
                  <w:noWrap w:val="0"/>
                  <w:vAlign w:val="center"/>
                </w:tcPr>
                <w:p w14:paraId="4C63171E">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分布情况</w:t>
                  </w:r>
                </w:p>
              </w:tc>
              <w:tc>
                <w:tcPr>
                  <w:tcW w:w="1828" w:type="dxa"/>
                  <w:tcBorders>
                    <w:tl2br w:val="nil"/>
                    <w:tr2bl w:val="nil"/>
                  </w:tcBorders>
                  <w:noWrap w:val="0"/>
                  <w:vAlign w:val="center"/>
                </w:tcPr>
                <w:p w14:paraId="66FCE7DE">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厂内最大存在量/t</w:t>
                  </w:r>
                </w:p>
              </w:tc>
              <w:tc>
                <w:tcPr>
                  <w:tcW w:w="1005" w:type="dxa"/>
                  <w:tcBorders>
                    <w:tl2br w:val="nil"/>
                    <w:tr2bl w:val="nil"/>
                  </w:tcBorders>
                  <w:noWrap w:val="0"/>
                  <w:vAlign w:val="center"/>
                </w:tcPr>
                <w:p w14:paraId="3F5DD767">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临界量/t</w:t>
                  </w:r>
                </w:p>
              </w:tc>
              <w:tc>
                <w:tcPr>
                  <w:tcW w:w="1630" w:type="dxa"/>
                  <w:tcBorders>
                    <w:tl2br w:val="nil"/>
                    <w:tr2bl w:val="nil"/>
                  </w:tcBorders>
                  <w:noWrap w:val="0"/>
                  <w:vAlign w:val="center"/>
                </w:tcPr>
                <w:p w14:paraId="655957F1">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危险物质Q值</w:t>
                  </w:r>
                </w:p>
              </w:tc>
            </w:tr>
            <w:tr w14:paraId="3DBD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Borders>
                    <w:tl2br w:val="nil"/>
                    <w:tr2bl w:val="nil"/>
                  </w:tcBorders>
                  <w:noWrap w:val="0"/>
                  <w:vAlign w:val="center"/>
                </w:tcPr>
                <w:p w14:paraId="5A8C090C">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甲醇</w:t>
                  </w:r>
                </w:p>
              </w:tc>
              <w:tc>
                <w:tcPr>
                  <w:tcW w:w="1825" w:type="dxa"/>
                  <w:tcBorders>
                    <w:tl2br w:val="nil"/>
                    <w:tr2bl w:val="nil"/>
                  </w:tcBorders>
                  <w:noWrap w:val="0"/>
                  <w:vAlign w:val="center"/>
                </w:tcPr>
                <w:p w14:paraId="60206E36">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甲醇罐</w:t>
                  </w:r>
                </w:p>
              </w:tc>
              <w:tc>
                <w:tcPr>
                  <w:tcW w:w="1828" w:type="dxa"/>
                  <w:tcBorders>
                    <w:tl2br w:val="nil"/>
                    <w:tr2bl w:val="nil"/>
                  </w:tcBorders>
                  <w:noWrap w:val="0"/>
                  <w:vAlign w:val="center"/>
                </w:tcPr>
                <w:p w14:paraId="394664DC">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4</w:t>
                  </w:r>
                </w:p>
              </w:tc>
              <w:tc>
                <w:tcPr>
                  <w:tcW w:w="1005" w:type="dxa"/>
                  <w:tcBorders>
                    <w:tl2br w:val="nil"/>
                    <w:tr2bl w:val="nil"/>
                  </w:tcBorders>
                  <w:noWrap w:val="0"/>
                  <w:vAlign w:val="center"/>
                </w:tcPr>
                <w:p w14:paraId="238295B7">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10</w:t>
                  </w:r>
                </w:p>
              </w:tc>
              <w:tc>
                <w:tcPr>
                  <w:tcW w:w="1630" w:type="dxa"/>
                  <w:tcBorders>
                    <w:tl2br w:val="nil"/>
                    <w:tr2bl w:val="nil"/>
                  </w:tcBorders>
                  <w:noWrap w:val="0"/>
                  <w:vAlign w:val="center"/>
                </w:tcPr>
                <w:p w14:paraId="03DA0350">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0.4</w:t>
                  </w:r>
                </w:p>
              </w:tc>
            </w:tr>
            <w:tr w14:paraId="2BEE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Borders>
                    <w:tl2br w:val="nil"/>
                    <w:tr2bl w:val="nil"/>
                  </w:tcBorders>
                  <w:noWrap w:val="0"/>
                  <w:vAlign w:val="center"/>
                </w:tcPr>
                <w:p w14:paraId="5C04A33A">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废机油</w:t>
                  </w:r>
                </w:p>
              </w:tc>
              <w:tc>
                <w:tcPr>
                  <w:tcW w:w="1825" w:type="dxa"/>
                  <w:tcBorders>
                    <w:tl2br w:val="nil"/>
                    <w:tr2bl w:val="nil"/>
                  </w:tcBorders>
                  <w:noWrap w:val="0"/>
                  <w:vAlign w:val="center"/>
                </w:tcPr>
                <w:p w14:paraId="6F26B762">
                  <w:p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原料库</w:t>
                  </w:r>
                </w:p>
              </w:tc>
              <w:tc>
                <w:tcPr>
                  <w:tcW w:w="1828" w:type="dxa"/>
                  <w:tcBorders>
                    <w:tl2br w:val="nil"/>
                    <w:tr2bl w:val="nil"/>
                  </w:tcBorders>
                  <w:noWrap w:val="0"/>
                  <w:vAlign w:val="center"/>
                </w:tcPr>
                <w:p w14:paraId="77818580">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0.015</w:t>
                  </w:r>
                </w:p>
              </w:tc>
              <w:tc>
                <w:tcPr>
                  <w:tcW w:w="1005" w:type="dxa"/>
                  <w:tcBorders>
                    <w:tl2br w:val="nil"/>
                    <w:tr2bl w:val="nil"/>
                  </w:tcBorders>
                  <w:noWrap w:val="0"/>
                  <w:vAlign w:val="center"/>
                </w:tcPr>
                <w:p w14:paraId="59D52ED4">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50</w:t>
                  </w:r>
                </w:p>
              </w:tc>
              <w:tc>
                <w:tcPr>
                  <w:tcW w:w="1630" w:type="dxa"/>
                  <w:tcBorders>
                    <w:tl2br w:val="nil"/>
                    <w:tr2bl w:val="nil"/>
                  </w:tcBorders>
                  <w:noWrap w:val="0"/>
                  <w:vAlign w:val="center"/>
                </w:tcPr>
                <w:p w14:paraId="73CDC146">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0.0003</w:t>
                  </w:r>
                </w:p>
              </w:tc>
            </w:tr>
            <w:tr w14:paraId="123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Borders>
                    <w:tl2br w:val="nil"/>
                    <w:tr2bl w:val="nil"/>
                  </w:tcBorders>
                  <w:noWrap w:val="0"/>
                  <w:vAlign w:val="center"/>
                </w:tcPr>
                <w:p w14:paraId="323D586E">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油类物质</w:t>
                  </w:r>
                </w:p>
              </w:tc>
              <w:tc>
                <w:tcPr>
                  <w:tcW w:w="1825" w:type="dxa"/>
                  <w:tcBorders>
                    <w:tl2br w:val="nil"/>
                    <w:tr2bl w:val="nil"/>
                  </w:tcBorders>
                  <w:noWrap w:val="0"/>
                  <w:vAlign w:val="center"/>
                </w:tcPr>
                <w:p w14:paraId="09B4BCF1">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设备内</w:t>
                  </w:r>
                </w:p>
              </w:tc>
              <w:tc>
                <w:tcPr>
                  <w:tcW w:w="1828" w:type="dxa"/>
                  <w:tcBorders>
                    <w:tl2br w:val="nil"/>
                    <w:tr2bl w:val="nil"/>
                  </w:tcBorders>
                  <w:noWrap w:val="0"/>
                  <w:vAlign w:val="center"/>
                </w:tcPr>
                <w:p w14:paraId="3559FC4D">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0.3</w:t>
                  </w:r>
                </w:p>
              </w:tc>
              <w:tc>
                <w:tcPr>
                  <w:tcW w:w="1005" w:type="dxa"/>
                  <w:tcBorders>
                    <w:tl2br w:val="nil"/>
                    <w:tr2bl w:val="nil"/>
                  </w:tcBorders>
                  <w:noWrap w:val="0"/>
                  <w:vAlign w:val="center"/>
                </w:tcPr>
                <w:p w14:paraId="16D5DA47">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2500</w:t>
                  </w:r>
                </w:p>
              </w:tc>
              <w:tc>
                <w:tcPr>
                  <w:tcW w:w="1630" w:type="dxa"/>
                  <w:tcBorders>
                    <w:tl2br w:val="nil"/>
                    <w:tr2bl w:val="nil"/>
                  </w:tcBorders>
                  <w:noWrap w:val="0"/>
                  <w:vAlign w:val="center"/>
                </w:tcPr>
                <w:p w14:paraId="1DF73520">
                  <w:pPr>
                    <w:pStyle w:val="64"/>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0.00012</w:t>
                  </w:r>
                </w:p>
              </w:tc>
            </w:tr>
            <w:tr w14:paraId="6C40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7" w:type="dxa"/>
                  <w:gridSpan w:val="4"/>
                  <w:tcBorders>
                    <w:tl2br w:val="nil"/>
                    <w:tr2bl w:val="nil"/>
                  </w:tcBorders>
                  <w:noWrap w:val="0"/>
                  <w:vAlign w:val="center"/>
                </w:tcPr>
                <w:p w14:paraId="2120C88A">
                  <w:pPr>
                    <w:tabs>
                      <w:tab w:val="center" w:pos="3439"/>
                      <w:tab w:val="left" w:pos="5006"/>
                    </w:tabs>
                    <w:adjustRightInd w:val="0"/>
                    <w:snapToGrid w:val="0"/>
                    <w:spacing w:line="240" w:lineRule="auto"/>
                    <w:jc w:val="left"/>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ab/>
                  </w:r>
                  <w:r>
                    <w:rPr>
                      <w:rFonts w:hint="eastAsia" w:ascii="Times New Roman" w:hAnsi="Times New Roman" w:eastAsia="宋体" w:cs="Times New Roman"/>
                      <w:color w:val="auto"/>
                      <w:kern w:val="0"/>
                      <w:sz w:val="21"/>
                      <w:szCs w:val="21"/>
                      <w:highlight w:val="none"/>
                      <w:vertAlign w:val="baseline"/>
                      <w:lang w:val="en-US" w:eastAsia="zh-CN" w:bidi="ar-SA"/>
                    </w:rPr>
                    <w:t>项目Q值</w:t>
                  </w:r>
                  <w:r>
                    <w:rPr>
                      <w:bCs/>
                      <w:color w:val="auto"/>
                      <w:szCs w:val="21"/>
                      <w:highlight w:val="none"/>
                    </w:rPr>
                    <w:t>∑</w:t>
                  </w:r>
                </w:p>
              </w:tc>
              <w:tc>
                <w:tcPr>
                  <w:tcW w:w="1630" w:type="dxa"/>
                  <w:tcBorders>
                    <w:tl2br w:val="nil"/>
                    <w:tr2bl w:val="nil"/>
                  </w:tcBorders>
                  <w:noWrap w:val="0"/>
                  <w:vAlign w:val="center"/>
                </w:tcPr>
                <w:p w14:paraId="7D1ED3C9">
                  <w:p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0.40042</w:t>
                  </w:r>
                </w:p>
              </w:tc>
            </w:tr>
          </w:tbl>
          <w:p w14:paraId="78EA0F27">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由《建设项目环境风险评价技术导则》（HJ/T169-2018）附录C可知，Q值=0.</w:t>
            </w:r>
            <w:r>
              <w:rPr>
                <w:rFonts w:hint="eastAsia" w:cs="Times New Roman"/>
                <w:color w:val="auto"/>
                <w:sz w:val="24"/>
                <w:lang w:val="en-US" w:eastAsia="zh-CN"/>
              </w:rPr>
              <w:t>40042</w:t>
            </w:r>
            <w:r>
              <w:rPr>
                <w:rFonts w:hint="default" w:ascii="Times New Roman" w:hAnsi="Times New Roman" w:eastAsia="宋体" w:cs="Times New Roman"/>
                <w:color w:val="auto"/>
                <w:sz w:val="24"/>
                <w:lang w:val="en-US" w:eastAsia="zh-CN"/>
              </w:rPr>
              <w:t>＜1。根据《建设项目环境风险评价技术导则》</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HJ169-2018</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中项目风险等级判别表可知，评价等级为简单分析。</w:t>
            </w:r>
          </w:p>
          <w:p w14:paraId="2A2A3711">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2、可能影响环境的途径</w:t>
            </w:r>
          </w:p>
          <w:p w14:paraId="64929957">
            <w:pPr>
              <w:pStyle w:val="8"/>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①泄漏事故影响途径</w:t>
            </w:r>
          </w:p>
          <w:p w14:paraId="636ECA02">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Chars="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本项目涉及的甲醇液体与甲醇气体毒性较小，但仍属于污染物（甲醇），甲醇、</w:t>
            </w:r>
            <w:r>
              <w:rPr>
                <w:rFonts w:hint="eastAsia" w:ascii="Times New Roman" w:hAnsi="Times New Roman" w:eastAsia="宋体" w:cs="Times New Roman"/>
                <w:color w:val="auto"/>
                <w:sz w:val="24"/>
                <w:szCs w:val="24"/>
                <w:lang w:val="en-US" w:eastAsia="zh-CN"/>
              </w:rPr>
              <w:t>油类物质</w:t>
            </w:r>
            <w:r>
              <w:rPr>
                <w:rFonts w:hint="eastAsia" w:cs="Times New Roman"/>
                <w:color w:val="auto"/>
                <w:sz w:val="24"/>
                <w:szCs w:val="24"/>
                <w:lang w:val="en-US" w:eastAsia="zh-CN"/>
              </w:rPr>
              <w:t>泄漏</w:t>
            </w:r>
            <w:r>
              <w:rPr>
                <w:rFonts w:hint="eastAsia" w:ascii="Times New Roman" w:hAnsi="Times New Roman" w:eastAsia="宋体" w:cs="Times New Roman"/>
                <w:color w:val="auto"/>
                <w:sz w:val="24"/>
                <w:szCs w:val="24"/>
                <w:lang w:val="en-US" w:eastAsia="zh-CN"/>
              </w:rPr>
              <w:t>后</w:t>
            </w:r>
            <w:r>
              <w:rPr>
                <w:rFonts w:hint="eastAsia" w:ascii="Times New Roman" w:hAnsi="Times New Roman" w:cs="Times New Roman"/>
                <w:color w:val="auto"/>
                <w:kern w:val="2"/>
                <w:sz w:val="24"/>
                <w:szCs w:val="24"/>
                <w:lang w:val="en-US" w:eastAsia="zh-CN" w:bidi="ar-SA"/>
              </w:rPr>
              <w:t>将可能对大气环境、地表水体环境和地下水体环境造成污染，并进而对人体或水生生物造成健康危害。甲醇一旦发生泄漏，因有收集槽沟及地表防渗措施，外溢的物料基本不会渗入地表污染土壤、地下水，但泄漏甲醇挥发在大气输送扩散作用下将对环境空气及人群健康造成危害。</w:t>
            </w:r>
          </w:p>
          <w:p w14:paraId="2D1273B7">
            <w:pPr>
              <w:pStyle w:val="8"/>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w:t>
            </w:r>
            <w:r>
              <w:rPr>
                <w:rFonts w:hint="default" w:ascii="Times New Roman" w:hAnsi="Times New Roman" w:eastAsia="宋体" w:cs="Times New Roman"/>
                <w:b w:val="0"/>
                <w:bCs w:val="0"/>
                <w:color w:val="auto"/>
                <w:sz w:val="24"/>
                <w:szCs w:val="24"/>
                <w:lang w:val="en-US" w:eastAsia="zh-CN"/>
              </w:rPr>
              <w:t>火灾爆炸事故影响途径</w:t>
            </w:r>
          </w:p>
          <w:p w14:paraId="796F841E">
            <w:pPr>
              <w:pStyle w:val="8"/>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本项目涉及的甲醇均具有一定易燃、易爆特性，一旦发生物料泄漏、遇明火将引发火灾、爆炸事故。</w:t>
            </w:r>
            <w:r>
              <w:rPr>
                <w:rFonts w:hint="eastAsia" w:ascii="Times New Roman" w:hAnsi="Times New Roman" w:eastAsia="宋体" w:cs="Times New Roman"/>
                <w:b w:val="0"/>
                <w:bCs w:val="0"/>
                <w:color w:val="auto"/>
                <w:sz w:val="24"/>
                <w:szCs w:val="24"/>
                <w:lang w:val="en-US" w:eastAsia="zh-CN"/>
              </w:rPr>
              <w:t>本次</w:t>
            </w:r>
            <w:r>
              <w:rPr>
                <w:rFonts w:hint="default" w:ascii="Times New Roman" w:hAnsi="Times New Roman" w:eastAsia="宋体" w:cs="Times New Roman"/>
                <w:b w:val="0"/>
                <w:bCs w:val="0"/>
                <w:color w:val="auto"/>
                <w:sz w:val="24"/>
                <w:szCs w:val="24"/>
                <w:lang w:val="en-US" w:eastAsia="zh-CN"/>
              </w:rPr>
              <w:t>环境风险评价关注火灾爆炸事故引发的伴生/次生危害。</w:t>
            </w:r>
          </w:p>
          <w:p w14:paraId="4BC182BF">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环境风险防范措施</w:t>
            </w:r>
          </w:p>
          <w:p w14:paraId="3F9E88E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根据现场核查，厂区现有环境风险防范措施可满足环境防范的要求。</w:t>
            </w:r>
          </w:p>
          <w:p w14:paraId="16F23D6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①按照分区防渗要求，进行重点防渗处理，防止危险物质下渗进入地基下至土壤层及地下水层；暂存容器下方设置托盘防止渗漏</w:t>
            </w:r>
            <w:r>
              <w:rPr>
                <w:rFonts w:hint="eastAsia" w:cs="Times New Roman"/>
                <w:color w:val="auto"/>
                <w:sz w:val="24"/>
                <w:szCs w:val="24"/>
                <w:lang w:val="en-US" w:eastAsia="zh-CN"/>
              </w:rPr>
              <w:t>。</w:t>
            </w:r>
          </w:p>
          <w:p w14:paraId="1B2DFEC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②生产现场设置各种安全标志。按照规范对凡需要迅速发现并引起注意以防发生事故的场所、部位均按要求涂安全色。</w:t>
            </w:r>
          </w:p>
          <w:p w14:paraId="4A27363B">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③建立健全的组织管理网络。管理人员和操作人员</w:t>
            </w:r>
            <w:r>
              <w:rPr>
                <w:rFonts w:hint="eastAsia" w:cs="Times New Roman"/>
                <w:color w:val="auto"/>
                <w:sz w:val="24"/>
                <w:szCs w:val="24"/>
                <w:lang w:val="en-US" w:eastAsia="zh-CN"/>
              </w:rPr>
              <w:t>在</w:t>
            </w:r>
            <w:r>
              <w:rPr>
                <w:rFonts w:hint="eastAsia" w:ascii="Times New Roman" w:hAnsi="Times New Roman" w:eastAsia="宋体" w:cs="Times New Roman"/>
                <w:color w:val="auto"/>
                <w:sz w:val="24"/>
                <w:szCs w:val="24"/>
                <w:lang w:val="en-US" w:eastAsia="zh-CN"/>
              </w:rPr>
              <w:t>事故预防中应通力合作，每个生产岗位配备必要的安全管理和责任人员。</w:t>
            </w:r>
          </w:p>
          <w:p w14:paraId="019B50E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④危险废物贮存库外配备必要的消防灭火器材、消防砂以及防毒等个人防护器材，并确保其处于完好状态，如安全眼镜、防护手套等。</w:t>
            </w:r>
          </w:p>
          <w:p w14:paraId="42C6EFBA">
            <w:pPr>
              <w:pStyle w:val="8"/>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⑤</w:t>
            </w:r>
            <w:r>
              <w:rPr>
                <w:rFonts w:hint="eastAsia" w:ascii="Times New Roman" w:hAnsi="Times New Roman" w:cs="Times New Roman"/>
                <w:b w:val="0"/>
                <w:bCs w:val="0"/>
                <w:color w:val="auto"/>
                <w:sz w:val="24"/>
                <w:szCs w:val="24"/>
                <w:lang w:val="en-US" w:eastAsia="zh-CN"/>
              </w:rPr>
              <w:t>罐区要在通风、防火、防晒方面加以科学化设置，提供良好的库存环境，保证储罐妥善存放，减少因库存环境引起的损耗；</w:t>
            </w:r>
          </w:p>
          <w:p w14:paraId="70C31AC8">
            <w:pPr>
              <w:pStyle w:val="8"/>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⑥</w:t>
            </w:r>
            <w:r>
              <w:rPr>
                <w:rFonts w:hint="eastAsia" w:ascii="Times New Roman" w:hAnsi="Times New Roman" w:cs="Times New Roman"/>
                <w:b w:val="0"/>
                <w:bCs w:val="0"/>
                <w:color w:val="auto"/>
                <w:sz w:val="24"/>
                <w:szCs w:val="24"/>
                <w:lang w:val="en-US" w:eastAsia="zh-CN"/>
              </w:rPr>
              <w:t>罐区地面需做好防腐防渗措施，设置围堰等截污措施；</w:t>
            </w:r>
          </w:p>
          <w:p w14:paraId="037D1E88">
            <w:pPr>
              <w:pStyle w:val="8"/>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⑦</w:t>
            </w:r>
            <w:r>
              <w:rPr>
                <w:rFonts w:hint="eastAsia" w:ascii="Times New Roman" w:hAnsi="Times New Roman" w:cs="Times New Roman"/>
                <w:b w:val="0"/>
                <w:bCs w:val="0"/>
                <w:color w:val="auto"/>
                <w:sz w:val="24"/>
                <w:szCs w:val="24"/>
                <w:lang w:val="en-US" w:eastAsia="zh-CN"/>
              </w:rPr>
              <w:t>配备消防器材、应急救援物资；</w:t>
            </w:r>
          </w:p>
          <w:p w14:paraId="7286E768">
            <w:pPr>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pPr>
            <w:r>
              <w:rPr>
                <w:rFonts w:hint="eastAsia" w:cs="Times New Roman"/>
                <w:b/>
                <w:bCs/>
                <w:color w:val="000000" w:themeColor="text1"/>
                <w:sz w:val="24"/>
                <w:szCs w:val="24"/>
                <w:lang w:val="en-US" w:eastAsia="zh-CN" w:bidi="ar"/>
                <w14:textFill>
                  <w14:solidFill>
                    <w14:schemeClr w14:val="tx1"/>
                  </w14:solidFill>
                </w14:textFill>
              </w:rPr>
              <w:t>八</w:t>
            </w:r>
            <w:r>
              <w:rPr>
                <w:rFonts w:hint="default" w:ascii="Times New Roman" w:hAnsi="Times New Roman" w:eastAsia="宋体" w:cs="Times New Roman"/>
                <w:b/>
                <w:bCs/>
                <w:color w:val="000000" w:themeColor="text1"/>
                <w:sz w:val="24"/>
                <w:szCs w:val="24"/>
                <w:lang w:eastAsia="zh-CN" w:bidi="ar"/>
                <w14:textFill>
                  <w14:solidFill>
                    <w14:schemeClr w14:val="tx1"/>
                  </w14:solidFill>
                </w14:textFill>
              </w:rPr>
              <w:t>、环保投资估算</w:t>
            </w:r>
          </w:p>
          <w:p w14:paraId="48C71FB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建设单位必须落实环保资金，切实用于废气治理、废水治理、噪声治理、固废处理等，本项目总投资</w:t>
            </w:r>
            <w:r>
              <w:rPr>
                <w:rFonts w:hint="eastAsia" w:cs="Times New Roman"/>
                <w:color w:val="000000" w:themeColor="text1"/>
                <w:sz w:val="24"/>
                <w:szCs w:val="24"/>
                <w:lang w:val="en-US" w:eastAsia="zh-CN" w:bidi="ar"/>
                <w14:textFill>
                  <w14:solidFill>
                    <w14:schemeClr w14:val="tx1"/>
                  </w14:solidFill>
                </w14:textFill>
              </w:rPr>
              <w:t>500.64</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万元，经估算本项目建设用于环保方面的投资</w:t>
            </w:r>
            <w:r>
              <w:rPr>
                <w:rFonts w:hint="eastAsia" w:cs="Times New Roman"/>
                <w:color w:val="000000" w:themeColor="text1"/>
                <w:sz w:val="24"/>
                <w:szCs w:val="24"/>
                <w:lang w:val="en-US" w:eastAsia="zh-CN" w:bidi="ar"/>
                <w14:textFill>
                  <w14:solidFill>
                    <w14:schemeClr w14:val="tx1"/>
                  </w14:solidFill>
                </w14:textFill>
              </w:rPr>
              <w:t>59.1</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万元，占本项目总投资的</w:t>
            </w:r>
            <w:r>
              <w:rPr>
                <w:rFonts w:hint="eastAsia" w:cs="Times New Roman"/>
                <w:color w:val="000000" w:themeColor="text1"/>
                <w:sz w:val="24"/>
                <w:szCs w:val="24"/>
                <w:lang w:val="en-US" w:eastAsia="zh-CN" w:bidi="ar"/>
                <w14:textFill>
                  <w14:solidFill>
                    <w14:schemeClr w14:val="tx1"/>
                  </w14:solidFill>
                </w14:textFill>
              </w:rPr>
              <w:t>10.37</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%，具体见表4-</w:t>
            </w:r>
            <w:r>
              <w:rPr>
                <w:rFonts w:hint="eastAsia" w:ascii="Times New Roman" w:hAnsi="Times New Roman" w:cs="Times New Roman"/>
                <w:color w:val="000000" w:themeColor="text1"/>
                <w:sz w:val="24"/>
                <w:szCs w:val="24"/>
                <w:lang w:val="en-US" w:eastAsia="zh-CN" w:bidi="ar"/>
                <w14:textFill>
                  <w14:solidFill>
                    <w14:schemeClr w14:val="tx1"/>
                  </w14:solidFill>
                </w14:textFill>
              </w:rPr>
              <w:t>1</w:t>
            </w:r>
            <w:r>
              <w:rPr>
                <w:rFonts w:hint="eastAsia" w:cs="Times New Roman"/>
                <w:color w:val="000000" w:themeColor="text1"/>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w:t>
            </w:r>
          </w:p>
          <w:p w14:paraId="4BF33502">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ascii="Times New Roman" w:hAnsi="Times New Roman" w:cs="Times New Roman"/>
                <w:b/>
                <w:color w:val="000000" w:themeColor="text1"/>
                <w:sz w:val="21"/>
                <w:szCs w:val="21"/>
                <w:lang w:val="en-US" w:eastAsia="zh-CN"/>
                <w14:textFill>
                  <w14:solidFill>
                    <w14:schemeClr w14:val="tx1"/>
                  </w14:solidFill>
                </w14:textFill>
              </w:rPr>
              <w:t>1</w:t>
            </w:r>
            <w:r>
              <w:rPr>
                <w:rFonts w:hint="eastAsia" w:cs="Times New Roman"/>
                <w:b/>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14:textFill>
                  <w14:solidFill>
                    <w14:schemeClr w14:val="tx1"/>
                  </w14:solidFill>
                </w14:textFill>
              </w:rPr>
              <w:t xml:space="preserve">  环保投资一览表</w:t>
            </w:r>
          </w:p>
          <w:tbl>
            <w:tblPr>
              <w:tblStyle w:val="22"/>
              <w:tblpPr w:leftFromText="180" w:rightFromText="180" w:vertAnchor="text" w:horzAnchor="margin" w:tblpXSpec="center" w:tblpY="5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341"/>
              <w:gridCol w:w="3499"/>
              <w:gridCol w:w="1062"/>
              <w:gridCol w:w="1303"/>
            </w:tblGrid>
            <w:tr w14:paraId="6162F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47" w:type="pct"/>
                  <w:gridSpan w:val="2"/>
                  <w:noWrap w:val="0"/>
                  <w:vAlign w:val="center"/>
                </w:tcPr>
                <w:p w14:paraId="6FBEC7AA">
                  <w:pPr>
                    <w:tabs>
                      <w:tab w:val="left" w:pos="930"/>
                    </w:tabs>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治理工程</w:t>
                  </w:r>
                </w:p>
              </w:tc>
              <w:tc>
                <w:tcPr>
                  <w:tcW w:w="2119" w:type="pct"/>
                  <w:noWrap w:val="0"/>
                  <w:vAlign w:val="center"/>
                </w:tcPr>
                <w:p w14:paraId="328D8EF4">
                  <w:pPr>
                    <w:tabs>
                      <w:tab w:val="left" w:pos="930"/>
                    </w:tabs>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环保设施内容</w:t>
                  </w:r>
                </w:p>
              </w:tc>
              <w:tc>
                <w:tcPr>
                  <w:tcW w:w="643" w:type="pct"/>
                  <w:noWrap w:val="0"/>
                  <w:vAlign w:val="center"/>
                </w:tcPr>
                <w:p w14:paraId="591B9FD4">
                  <w:pPr>
                    <w:tabs>
                      <w:tab w:val="left" w:pos="930"/>
                    </w:tabs>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数量</w:t>
                  </w:r>
                </w:p>
              </w:tc>
              <w:tc>
                <w:tcPr>
                  <w:tcW w:w="789" w:type="pct"/>
                  <w:noWrap w:val="0"/>
                  <w:vAlign w:val="center"/>
                </w:tcPr>
                <w:p w14:paraId="1CFDAC77">
                  <w:pPr>
                    <w:tabs>
                      <w:tab w:val="left" w:pos="930"/>
                    </w:tabs>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投资</w:t>
                  </w:r>
                </w:p>
                <w:p w14:paraId="78351C0F">
                  <w:pPr>
                    <w:tabs>
                      <w:tab w:val="left" w:pos="930"/>
                    </w:tabs>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（万元）</w:t>
                  </w:r>
                </w:p>
              </w:tc>
            </w:tr>
            <w:tr w14:paraId="6D9CB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restart"/>
                  <w:noWrap w:val="0"/>
                  <w:vAlign w:val="center"/>
                </w:tcPr>
                <w:p w14:paraId="26629AA6">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812" w:type="pct"/>
                  <w:vMerge w:val="restart"/>
                  <w:noWrap w:val="0"/>
                  <w:vAlign w:val="center"/>
                </w:tcPr>
                <w:p w14:paraId="2BC1B46C">
                  <w:pPr>
                    <w:tabs>
                      <w:tab w:val="left" w:pos="930"/>
                    </w:tabs>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2119" w:type="pct"/>
                  <w:noWrap w:val="0"/>
                  <w:vAlign w:val="center"/>
                </w:tcPr>
                <w:p w14:paraId="42A1299B">
                  <w:pPr>
                    <w:tabs>
                      <w:tab w:val="left" w:pos="930"/>
                    </w:tabs>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集气罩</w:t>
                  </w:r>
                </w:p>
              </w:tc>
              <w:tc>
                <w:tcPr>
                  <w:tcW w:w="643" w:type="pct"/>
                  <w:noWrap w:val="0"/>
                  <w:vAlign w:val="center"/>
                </w:tcPr>
                <w:p w14:paraId="60C449C9">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5个</w:t>
                  </w:r>
                </w:p>
              </w:tc>
              <w:tc>
                <w:tcPr>
                  <w:tcW w:w="789" w:type="pct"/>
                  <w:vMerge w:val="restart"/>
                  <w:noWrap w:val="0"/>
                  <w:vAlign w:val="center"/>
                </w:tcPr>
                <w:p w14:paraId="4751269A">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p>
              </w:tc>
            </w:tr>
            <w:tr w14:paraId="7623C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continue"/>
                  <w:noWrap w:val="0"/>
                  <w:vAlign w:val="center"/>
                </w:tcPr>
                <w:p w14:paraId="41946DCE">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2" w:type="pct"/>
                  <w:vMerge w:val="continue"/>
                  <w:noWrap w:val="0"/>
                  <w:vAlign w:val="center"/>
                </w:tcPr>
                <w:p w14:paraId="53D9799F">
                  <w:pPr>
                    <w:tabs>
                      <w:tab w:val="left" w:pos="930"/>
                    </w:tabs>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2119" w:type="pct"/>
                  <w:noWrap w:val="0"/>
                  <w:vAlign w:val="center"/>
                </w:tcPr>
                <w:p w14:paraId="5631AF9B">
                  <w:pPr>
                    <w:tabs>
                      <w:tab w:val="left" w:pos="930"/>
                    </w:tabs>
                    <w:adjustRightInd w:val="0"/>
                    <w:snapToGrid w:val="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旋风除尘+布袋除尘+二级沉降室</w:t>
                  </w:r>
                </w:p>
              </w:tc>
              <w:tc>
                <w:tcPr>
                  <w:tcW w:w="643" w:type="pct"/>
                  <w:noWrap w:val="0"/>
                  <w:vAlign w:val="center"/>
                </w:tcPr>
                <w:p w14:paraId="6F211EC7">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1套</w:t>
                  </w:r>
                </w:p>
              </w:tc>
              <w:tc>
                <w:tcPr>
                  <w:tcW w:w="789" w:type="pct"/>
                  <w:vMerge w:val="continue"/>
                  <w:noWrap w:val="0"/>
                  <w:vAlign w:val="center"/>
                </w:tcPr>
                <w:p w14:paraId="0B951C54">
                  <w:pPr>
                    <w:widowControl/>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731F5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continue"/>
                  <w:noWrap w:val="0"/>
                  <w:vAlign w:val="center"/>
                </w:tcPr>
                <w:p w14:paraId="34ADE73B">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2" w:type="pct"/>
                  <w:vMerge w:val="continue"/>
                  <w:noWrap w:val="0"/>
                  <w:vAlign w:val="center"/>
                </w:tcPr>
                <w:p w14:paraId="5B6BC1C4">
                  <w:pPr>
                    <w:tabs>
                      <w:tab w:val="left" w:pos="930"/>
                    </w:tabs>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2119" w:type="pct"/>
                  <w:noWrap w:val="0"/>
                  <w:vAlign w:val="center"/>
                </w:tcPr>
                <w:p w14:paraId="253CFE01">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15m排气筒</w:t>
                  </w:r>
                </w:p>
              </w:tc>
              <w:tc>
                <w:tcPr>
                  <w:tcW w:w="643" w:type="pct"/>
                  <w:noWrap w:val="0"/>
                  <w:vAlign w:val="center"/>
                </w:tcPr>
                <w:p w14:paraId="001DE7FD">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1套</w:t>
                  </w:r>
                </w:p>
              </w:tc>
              <w:tc>
                <w:tcPr>
                  <w:tcW w:w="789" w:type="pct"/>
                  <w:vMerge w:val="continue"/>
                  <w:noWrap w:val="0"/>
                  <w:vAlign w:val="center"/>
                </w:tcPr>
                <w:p w14:paraId="1F2D20DA">
                  <w:pPr>
                    <w:widowControl/>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4C0AA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continue"/>
                  <w:noWrap w:val="0"/>
                  <w:vAlign w:val="center"/>
                </w:tcPr>
                <w:p w14:paraId="2BD4CB31">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2" w:type="pct"/>
                  <w:noWrap w:val="0"/>
                  <w:vAlign w:val="center"/>
                </w:tcPr>
                <w:p w14:paraId="680B8C5D">
                  <w:pPr>
                    <w:tabs>
                      <w:tab w:val="left" w:pos="930"/>
                    </w:tabs>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氨、硫化氢</w:t>
                  </w:r>
                </w:p>
              </w:tc>
              <w:tc>
                <w:tcPr>
                  <w:tcW w:w="2119" w:type="pct"/>
                  <w:noWrap w:val="0"/>
                  <w:vAlign w:val="center"/>
                </w:tcPr>
                <w:p w14:paraId="3E1DCDA4">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一体化生物滤池+15m排气筒</w:t>
                  </w:r>
                </w:p>
              </w:tc>
              <w:tc>
                <w:tcPr>
                  <w:tcW w:w="643" w:type="pct"/>
                  <w:noWrap w:val="0"/>
                  <w:vAlign w:val="center"/>
                </w:tcPr>
                <w:p w14:paraId="3E1609C9">
                  <w:pPr>
                    <w:widowControl/>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1套</w:t>
                  </w:r>
                </w:p>
              </w:tc>
              <w:tc>
                <w:tcPr>
                  <w:tcW w:w="789" w:type="pct"/>
                  <w:noWrap w:val="0"/>
                  <w:vAlign w:val="center"/>
                </w:tcPr>
                <w:p w14:paraId="1CD2DC6D">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w:t>
                  </w:r>
                </w:p>
              </w:tc>
            </w:tr>
            <w:tr w14:paraId="2A006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restart"/>
                  <w:noWrap w:val="0"/>
                  <w:vAlign w:val="center"/>
                </w:tcPr>
                <w:p w14:paraId="62E5EDF6">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812" w:type="pct"/>
                  <w:noWrap w:val="0"/>
                  <w:vAlign w:val="center"/>
                </w:tcPr>
                <w:p w14:paraId="6479C8D0">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2119" w:type="pct"/>
                  <w:noWrap w:val="0"/>
                  <w:vAlign w:val="center"/>
                </w:tcPr>
                <w:p w14:paraId="45A68CAE">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垃圾桶</w:t>
                  </w:r>
                </w:p>
              </w:tc>
              <w:tc>
                <w:tcPr>
                  <w:tcW w:w="643" w:type="pct"/>
                  <w:noWrap w:val="0"/>
                  <w:vAlign w:val="center"/>
                </w:tcPr>
                <w:p w14:paraId="213131F2">
                  <w:pPr>
                    <w:widowControl/>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个</w:t>
                  </w:r>
                </w:p>
              </w:tc>
              <w:tc>
                <w:tcPr>
                  <w:tcW w:w="789" w:type="pct"/>
                  <w:noWrap w:val="0"/>
                  <w:vAlign w:val="center"/>
                </w:tcPr>
                <w:p w14:paraId="30CB1AD3">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p>
              </w:tc>
            </w:tr>
            <w:tr w14:paraId="149BC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continue"/>
                  <w:noWrap w:val="0"/>
                  <w:vAlign w:val="center"/>
                </w:tcPr>
                <w:p w14:paraId="1A9FBC06">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2" w:type="pct"/>
                  <w:noWrap w:val="0"/>
                  <w:vAlign w:val="center"/>
                </w:tcPr>
                <w:p w14:paraId="7BE65856">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w:t>
                  </w:r>
                </w:p>
              </w:tc>
              <w:tc>
                <w:tcPr>
                  <w:tcW w:w="2119" w:type="pct"/>
                  <w:noWrap w:val="0"/>
                  <w:vAlign w:val="center"/>
                </w:tcPr>
                <w:p w14:paraId="1A557073">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一般固废暂存</w:t>
                  </w:r>
                  <w:r>
                    <w:rPr>
                      <w:rFonts w:hint="default" w:ascii="Times New Roman" w:hAnsi="Times New Roman" w:cs="Times New Roman"/>
                      <w:color w:val="000000" w:themeColor="text1"/>
                      <w:szCs w:val="21"/>
                      <w:lang w:val="en-US" w:eastAsia="zh-CN"/>
                      <w14:textFill>
                        <w14:solidFill>
                          <w14:schemeClr w14:val="tx1"/>
                        </w14:solidFill>
                      </w14:textFill>
                    </w:rPr>
                    <w:t>区10m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p>
              </w:tc>
              <w:tc>
                <w:tcPr>
                  <w:tcW w:w="643" w:type="pct"/>
                  <w:noWrap w:val="0"/>
                  <w:vAlign w:val="center"/>
                </w:tcPr>
                <w:p w14:paraId="5FD45484">
                  <w:pPr>
                    <w:widowControl/>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1个</w:t>
                  </w:r>
                </w:p>
              </w:tc>
              <w:tc>
                <w:tcPr>
                  <w:tcW w:w="789" w:type="pct"/>
                  <w:noWrap w:val="0"/>
                  <w:vAlign w:val="center"/>
                </w:tcPr>
                <w:p w14:paraId="6CA2D72E">
                  <w:pPr>
                    <w:widowControl/>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r>
            <w:tr w14:paraId="7BF0A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635" w:type="pct"/>
                  <w:vMerge w:val="restart"/>
                  <w:noWrap w:val="0"/>
                  <w:vAlign w:val="center"/>
                </w:tcPr>
                <w:p w14:paraId="085F11D3">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废水</w:t>
                  </w:r>
                </w:p>
              </w:tc>
              <w:tc>
                <w:tcPr>
                  <w:tcW w:w="812" w:type="pct"/>
                  <w:noWrap w:val="0"/>
                  <w:vAlign w:val="center"/>
                </w:tcPr>
                <w:p w14:paraId="6D35A985">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生活污水</w:t>
                  </w:r>
                </w:p>
              </w:tc>
              <w:tc>
                <w:tcPr>
                  <w:tcW w:w="2119" w:type="pct"/>
                  <w:noWrap w:val="0"/>
                  <w:vAlign w:val="center"/>
                </w:tcPr>
                <w:p w14:paraId="4F5218D1">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化粪池</w:t>
                  </w:r>
                </w:p>
              </w:tc>
              <w:tc>
                <w:tcPr>
                  <w:tcW w:w="643" w:type="pct"/>
                  <w:noWrap w:val="0"/>
                  <w:vAlign w:val="center"/>
                </w:tcPr>
                <w:p w14:paraId="4504C2CD">
                  <w:pPr>
                    <w:widowControl/>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1套</w:t>
                  </w:r>
                </w:p>
              </w:tc>
              <w:tc>
                <w:tcPr>
                  <w:tcW w:w="789" w:type="pct"/>
                  <w:noWrap w:val="0"/>
                  <w:vAlign w:val="center"/>
                </w:tcPr>
                <w:p w14:paraId="2D4824EA">
                  <w:pPr>
                    <w:widowControl/>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p>
              </w:tc>
            </w:tr>
            <w:tr w14:paraId="32C40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635" w:type="pct"/>
                  <w:vMerge w:val="continue"/>
                  <w:noWrap w:val="0"/>
                  <w:vAlign w:val="center"/>
                </w:tcPr>
                <w:p w14:paraId="1504F33A">
                  <w:pPr>
                    <w:tabs>
                      <w:tab w:val="left" w:pos="930"/>
                    </w:tabs>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812" w:type="pct"/>
                  <w:noWrap w:val="0"/>
                  <w:vAlign w:val="center"/>
                </w:tcPr>
                <w:p w14:paraId="5A83AF11">
                  <w:pPr>
                    <w:tabs>
                      <w:tab w:val="left" w:pos="930"/>
                    </w:tabs>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罐体清洗废水</w:t>
                  </w:r>
                </w:p>
              </w:tc>
              <w:tc>
                <w:tcPr>
                  <w:tcW w:w="2119" w:type="pct"/>
                  <w:noWrap w:val="0"/>
                  <w:vAlign w:val="center"/>
                </w:tcPr>
                <w:p w14:paraId="64846AAB">
                  <w:pPr>
                    <w:tabs>
                      <w:tab w:val="left" w:pos="930"/>
                    </w:tabs>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收集桶</w:t>
                  </w:r>
                </w:p>
              </w:tc>
              <w:tc>
                <w:tcPr>
                  <w:tcW w:w="643" w:type="pct"/>
                  <w:noWrap w:val="0"/>
                  <w:vAlign w:val="center"/>
                </w:tcPr>
                <w:p w14:paraId="358D2501">
                  <w:pPr>
                    <w:widowControl/>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1个</w:t>
                  </w:r>
                </w:p>
              </w:tc>
              <w:tc>
                <w:tcPr>
                  <w:tcW w:w="789" w:type="pct"/>
                  <w:noWrap w:val="0"/>
                  <w:vAlign w:val="center"/>
                </w:tcPr>
                <w:p w14:paraId="73962040">
                  <w:pPr>
                    <w:widowControl/>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w:t>
                  </w:r>
                </w:p>
              </w:tc>
            </w:tr>
            <w:tr w14:paraId="67A71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635" w:type="pct"/>
                  <w:vMerge w:val="continue"/>
                  <w:noWrap w:val="0"/>
                  <w:vAlign w:val="center"/>
                </w:tcPr>
                <w:p w14:paraId="1AB11027">
                  <w:pPr>
                    <w:tabs>
                      <w:tab w:val="left" w:pos="930"/>
                    </w:tabs>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812" w:type="pct"/>
                  <w:noWrap w:val="0"/>
                  <w:vAlign w:val="center"/>
                </w:tcPr>
                <w:p w14:paraId="312A3146">
                  <w:pPr>
                    <w:tabs>
                      <w:tab w:val="left" w:pos="930"/>
                    </w:tabs>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渗滤液</w:t>
                  </w:r>
                </w:p>
              </w:tc>
              <w:tc>
                <w:tcPr>
                  <w:tcW w:w="2119" w:type="pct"/>
                  <w:noWrap w:val="0"/>
                  <w:vAlign w:val="center"/>
                </w:tcPr>
                <w:p w14:paraId="2641DB54">
                  <w:pPr>
                    <w:tabs>
                      <w:tab w:val="left" w:pos="930"/>
                    </w:tabs>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收集池</w:t>
                  </w:r>
                </w:p>
              </w:tc>
              <w:tc>
                <w:tcPr>
                  <w:tcW w:w="643" w:type="pct"/>
                  <w:noWrap w:val="0"/>
                  <w:vAlign w:val="center"/>
                </w:tcPr>
                <w:p w14:paraId="1CE91BDD">
                  <w:pPr>
                    <w:widowControl/>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1座</w:t>
                  </w:r>
                </w:p>
              </w:tc>
              <w:tc>
                <w:tcPr>
                  <w:tcW w:w="789" w:type="pct"/>
                  <w:noWrap w:val="0"/>
                  <w:vAlign w:val="center"/>
                </w:tcPr>
                <w:p w14:paraId="23CC25AF">
                  <w:pPr>
                    <w:widowControl/>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0.5</w:t>
                  </w:r>
                </w:p>
              </w:tc>
            </w:tr>
            <w:tr w14:paraId="0439A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restart"/>
                  <w:noWrap w:val="0"/>
                  <w:vAlign w:val="center"/>
                </w:tcPr>
                <w:p w14:paraId="546A39E9">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812" w:type="pct"/>
                  <w:noWrap w:val="0"/>
                  <w:vAlign w:val="center"/>
                </w:tcPr>
                <w:p w14:paraId="044243B9">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设备噪声</w:t>
                  </w:r>
                </w:p>
              </w:tc>
              <w:tc>
                <w:tcPr>
                  <w:tcW w:w="2119" w:type="pct"/>
                  <w:noWrap w:val="0"/>
                  <w:vAlign w:val="center"/>
                </w:tcPr>
                <w:p w14:paraId="4FEDE110">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厂房隔声</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墙体隔声材料</w:t>
                  </w:r>
                  <w:r>
                    <w:rPr>
                      <w:rFonts w:hint="default" w:ascii="Times New Roman" w:hAnsi="Times New Roman" w:eastAsia="宋体" w:cs="Times New Roman"/>
                      <w:color w:val="000000" w:themeColor="text1"/>
                      <w:szCs w:val="21"/>
                      <w14:textFill>
                        <w14:solidFill>
                          <w14:schemeClr w14:val="tx1"/>
                        </w14:solidFill>
                      </w14:textFill>
                    </w:rPr>
                    <w:t>、基础减振</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隔声罩、设备润滑</w:t>
                  </w:r>
                  <w:r>
                    <w:rPr>
                      <w:rFonts w:hint="default" w:ascii="Times New Roman" w:hAnsi="Times New Roman" w:eastAsia="宋体" w:cs="Times New Roman"/>
                      <w:color w:val="000000" w:themeColor="text1"/>
                      <w:szCs w:val="21"/>
                      <w14:textFill>
                        <w14:solidFill>
                          <w14:schemeClr w14:val="tx1"/>
                        </w14:solidFill>
                      </w14:textFill>
                    </w:rPr>
                    <w:t>等</w:t>
                  </w:r>
                </w:p>
              </w:tc>
              <w:tc>
                <w:tcPr>
                  <w:tcW w:w="643" w:type="pct"/>
                  <w:noWrap w:val="0"/>
                  <w:vAlign w:val="center"/>
                </w:tcPr>
                <w:p w14:paraId="07CD9BF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789" w:type="pct"/>
                  <w:noWrap w:val="0"/>
                  <w:vAlign w:val="center"/>
                </w:tcPr>
                <w:p w14:paraId="3B91312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r>
            <w:tr w14:paraId="202CA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5" w:type="pct"/>
                  <w:vMerge w:val="continue"/>
                  <w:noWrap w:val="0"/>
                  <w:vAlign w:val="center"/>
                </w:tcPr>
                <w:p w14:paraId="66145B56">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12" w:type="pct"/>
                  <w:noWrap w:val="0"/>
                  <w:vAlign w:val="center"/>
                </w:tcPr>
                <w:p w14:paraId="57D7FF30">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风机</w:t>
                  </w:r>
                </w:p>
              </w:tc>
              <w:tc>
                <w:tcPr>
                  <w:tcW w:w="2119" w:type="pct"/>
                  <w:noWrap w:val="0"/>
                  <w:vAlign w:val="center"/>
                </w:tcPr>
                <w:p w14:paraId="7C10387A">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隔声罩</w:t>
                  </w:r>
                </w:p>
              </w:tc>
              <w:tc>
                <w:tcPr>
                  <w:tcW w:w="643" w:type="pct"/>
                  <w:noWrap w:val="0"/>
                  <w:vAlign w:val="center"/>
                </w:tcPr>
                <w:p w14:paraId="3AC92CFD">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2套</w:t>
                  </w:r>
                </w:p>
              </w:tc>
              <w:tc>
                <w:tcPr>
                  <w:tcW w:w="789" w:type="pct"/>
                  <w:noWrap w:val="0"/>
                  <w:vAlign w:val="center"/>
                </w:tcPr>
                <w:p w14:paraId="3476E8E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w:t>
                  </w:r>
                </w:p>
              </w:tc>
            </w:tr>
            <w:tr w14:paraId="6CE61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67" w:type="pct"/>
                  <w:gridSpan w:val="3"/>
                  <w:noWrap w:val="0"/>
                  <w:vAlign w:val="center"/>
                </w:tcPr>
                <w:p w14:paraId="7E298958">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合计</w:t>
                  </w:r>
                </w:p>
              </w:tc>
              <w:tc>
                <w:tcPr>
                  <w:tcW w:w="643" w:type="pct"/>
                  <w:noWrap w:val="0"/>
                  <w:vAlign w:val="center"/>
                </w:tcPr>
                <w:p w14:paraId="1F0946C3">
                  <w:pPr>
                    <w:tabs>
                      <w:tab w:val="left" w:pos="930"/>
                    </w:tabs>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789" w:type="pct"/>
                  <w:noWrap w:val="0"/>
                  <w:vAlign w:val="center"/>
                </w:tcPr>
                <w:p w14:paraId="524E11C5">
                  <w:pPr>
                    <w:tabs>
                      <w:tab w:val="left" w:pos="930"/>
                    </w:tabs>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59.1</w:t>
                  </w:r>
                </w:p>
              </w:tc>
            </w:tr>
          </w:tbl>
          <w:p w14:paraId="5A000254">
            <w:pPr>
              <w:widowControl/>
              <w:snapToGrid w:val="0"/>
              <w:spacing w:line="360" w:lineRule="auto"/>
              <w:jc w:val="left"/>
              <w:rPr>
                <w:rFonts w:hint="eastAsia" w:cs="Times New Roman"/>
                <w:bCs/>
                <w:color w:val="000000" w:themeColor="text1"/>
                <w:spacing w:val="-10"/>
                <w:szCs w:val="21"/>
                <w:lang w:eastAsia="zh-CN"/>
                <w14:textFill>
                  <w14:solidFill>
                    <w14:schemeClr w14:val="tx1"/>
                  </w14:solidFill>
                </w14:textFill>
              </w:rPr>
            </w:pPr>
          </w:p>
          <w:p w14:paraId="0AAC50F5">
            <w:pPr>
              <w:widowControl/>
              <w:snapToGrid w:val="0"/>
              <w:spacing w:line="360" w:lineRule="auto"/>
              <w:jc w:val="left"/>
              <w:rPr>
                <w:rFonts w:hint="eastAsia" w:cs="Times New Roman"/>
                <w:bCs/>
                <w:color w:val="000000" w:themeColor="text1"/>
                <w:spacing w:val="-10"/>
                <w:szCs w:val="21"/>
                <w:lang w:eastAsia="zh-CN"/>
                <w14:textFill>
                  <w14:solidFill>
                    <w14:schemeClr w14:val="tx1"/>
                  </w14:solidFill>
                </w14:textFill>
              </w:rPr>
            </w:pPr>
          </w:p>
          <w:p w14:paraId="34495039">
            <w:pPr>
              <w:widowControl/>
              <w:snapToGrid w:val="0"/>
              <w:spacing w:line="360" w:lineRule="auto"/>
              <w:jc w:val="left"/>
              <w:rPr>
                <w:rFonts w:hint="eastAsia" w:cs="Times New Roman"/>
                <w:bCs/>
                <w:color w:val="000000" w:themeColor="text1"/>
                <w:spacing w:val="-10"/>
                <w:szCs w:val="21"/>
                <w:lang w:eastAsia="zh-CN"/>
                <w14:textFill>
                  <w14:solidFill>
                    <w14:schemeClr w14:val="tx1"/>
                  </w14:solidFill>
                </w14:textFill>
              </w:rPr>
            </w:pPr>
          </w:p>
          <w:p w14:paraId="5755219B">
            <w:pPr>
              <w:widowControl/>
              <w:snapToGrid w:val="0"/>
              <w:spacing w:line="360" w:lineRule="auto"/>
              <w:jc w:val="left"/>
              <w:rPr>
                <w:rFonts w:hint="eastAsia" w:cs="Times New Roman"/>
                <w:bCs/>
                <w:color w:val="000000" w:themeColor="text1"/>
                <w:spacing w:val="-10"/>
                <w:szCs w:val="21"/>
                <w:lang w:eastAsia="zh-CN"/>
                <w14:textFill>
                  <w14:solidFill>
                    <w14:schemeClr w14:val="tx1"/>
                  </w14:solidFill>
                </w14:textFill>
              </w:rPr>
            </w:pPr>
          </w:p>
          <w:p w14:paraId="7040D842">
            <w:pPr>
              <w:widowControl/>
              <w:snapToGrid w:val="0"/>
              <w:spacing w:line="360" w:lineRule="auto"/>
              <w:jc w:val="left"/>
              <w:rPr>
                <w:rFonts w:hint="eastAsia" w:cs="Times New Roman"/>
                <w:bCs/>
                <w:color w:val="000000" w:themeColor="text1"/>
                <w:spacing w:val="-10"/>
                <w:szCs w:val="21"/>
                <w:lang w:eastAsia="zh-CN"/>
                <w14:textFill>
                  <w14:solidFill>
                    <w14:schemeClr w14:val="tx1"/>
                  </w14:solidFill>
                </w14:textFill>
              </w:rPr>
            </w:pPr>
          </w:p>
          <w:p w14:paraId="6B5C69C3">
            <w:pPr>
              <w:widowControl/>
              <w:snapToGrid w:val="0"/>
              <w:spacing w:line="360" w:lineRule="auto"/>
              <w:jc w:val="left"/>
              <w:rPr>
                <w:rFonts w:hint="eastAsia" w:cs="Times New Roman"/>
                <w:bCs/>
                <w:color w:val="000000" w:themeColor="text1"/>
                <w:spacing w:val="-10"/>
                <w:szCs w:val="21"/>
                <w:lang w:eastAsia="zh-CN"/>
                <w14:textFill>
                  <w14:solidFill>
                    <w14:schemeClr w14:val="tx1"/>
                  </w14:solidFill>
                </w14:textFill>
              </w:rPr>
            </w:pPr>
          </w:p>
          <w:p w14:paraId="46C5C2DC">
            <w:pPr>
              <w:widowControl/>
              <w:snapToGrid w:val="0"/>
              <w:spacing w:line="360" w:lineRule="auto"/>
              <w:jc w:val="left"/>
              <w:rPr>
                <w:rFonts w:hint="default" w:ascii="Times New Roman" w:hAnsi="Times New Roman" w:eastAsia="宋体" w:cs="Times New Roman"/>
                <w:bCs/>
                <w:color w:val="000000" w:themeColor="text1"/>
                <w:spacing w:val="-10"/>
                <w:szCs w:val="21"/>
                <w:lang w:eastAsia="zh-CN"/>
                <w14:textFill>
                  <w14:solidFill>
                    <w14:schemeClr w14:val="tx1"/>
                  </w14:solidFill>
                </w14:textFill>
              </w:rPr>
            </w:pPr>
          </w:p>
        </w:tc>
      </w:tr>
    </w:tbl>
    <w:p w14:paraId="488E2179">
      <w:pPr>
        <w:adjustRightInd w:val="0"/>
        <w:snapToGrid w:val="0"/>
        <w:spacing w:line="360" w:lineRule="auto"/>
        <w:rPr>
          <w:rFonts w:hint="default" w:ascii="Times New Roman" w:hAnsi="Times New Roman" w:eastAsia="宋体"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633C88A">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五、</w:t>
      </w:r>
      <w:bookmarkStart w:id="12" w:name="_Hlk54167917"/>
      <w:r>
        <w:rPr>
          <w:rFonts w:hint="default" w:ascii="Times New Roman" w:hAnsi="Times New Roman" w:eastAsia="宋体" w:cs="Times New Roman"/>
          <w:snapToGrid w:val="0"/>
          <w:color w:val="000000" w:themeColor="text1"/>
          <w:sz w:val="30"/>
          <w:szCs w:val="30"/>
          <w14:textFill>
            <w14:solidFill>
              <w14:schemeClr w14:val="tx1"/>
            </w14:solidFill>
          </w14:textFill>
        </w:rPr>
        <w:t>环境保护措施监督检查清单</w:t>
      </w:r>
      <w:bookmarkEnd w:id="1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550"/>
        <w:gridCol w:w="1530"/>
        <w:gridCol w:w="1950"/>
        <w:gridCol w:w="2195"/>
      </w:tblGrid>
      <w:tr w14:paraId="1FCB6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tcBorders>
              <w:tl2br w:val="single" w:color="auto" w:sz="4" w:space="0"/>
            </w:tcBorders>
            <w:noWrap w:val="0"/>
            <w:vAlign w:val="top"/>
          </w:tcPr>
          <w:p w14:paraId="4BD28CFA">
            <w:pPr>
              <w:adjustRightInd w:val="0"/>
              <w:snapToGrid w:val="0"/>
              <w:ind w:firstLine="84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内容</w:t>
            </w:r>
          </w:p>
          <w:p w14:paraId="54A6D8D0">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要素</w:t>
            </w:r>
          </w:p>
        </w:tc>
        <w:tc>
          <w:tcPr>
            <w:tcW w:w="1550" w:type="dxa"/>
            <w:noWrap w:val="0"/>
            <w:vAlign w:val="center"/>
          </w:tcPr>
          <w:p w14:paraId="09290AD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排放口</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编号、</w:t>
            </w:r>
          </w:p>
          <w:p w14:paraId="51B34AF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/污染源</w:t>
            </w:r>
          </w:p>
        </w:tc>
        <w:tc>
          <w:tcPr>
            <w:tcW w:w="1530" w:type="dxa"/>
            <w:noWrap w:val="0"/>
            <w:vAlign w:val="center"/>
          </w:tcPr>
          <w:p w14:paraId="224CDCF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污染物项目</w:t>
            </w:r>
          </w:p>
        </w:tc>
        <w:tc>
          <w:tcPr>
            <w:tcW w:w="1950" w:type="dxa"/>
            <w:noWrap w:val="0"/>
            <w:vAlign w:val="center"/>
          </w:tcPr>
          <w:p w14:paraId="056A55D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环境保护措施</w:t>
            </w:r>
          </w:p>
        </w:tc>
        <w:tc>
          <w:tcPr>
            <w:tcW w:w="2195" w:type="dxa"/>
            <w:noWrap w:val="0"/>
            <w:vAlign w:val="center"/>
          </w:tcPr>
          <w:p w14:paraId="7579797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执行标准</w:t>
            </w:r>
          </w:p>
        </w:tc>
      </w:tr>
      <w:tr w14:paraId="25B20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restart"/>
            <w:noWrap w:val="0"/>
            <w:vAlign w:val="center"/>
          </w:tcPr>
          <w:p w14:paraId="66F1558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大气环境</w:t>
            </w:r>
          </w:p>
        </w:tc>
        <w:tc>
          <w:tcPr>
            <w:tcW w:w="1550" w:type="dxa"/>
            <w:noWrap w:val="0"/>
            <w:vAlign w:val="center"/>
          </w:tcPr>
          <w:p w14:paraId="72F41D0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颗粒物排放口DA001</w:t>
            </w:r>
          </w:p>
        </w:tc>
        <w:tc>
          <w:tcPr>
            <w:tcW w:w="1530" w:type="dxa"/>
            <w:noWrap w:val="0"/>
            <w:vAlign w:val="center"/>
          </w:tcPr>
          <w:p w14:paraId="0F4E126A">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颗粒物</w:t>
            </w:r>
          </w:p>
        </w:tc>
        <w:tc>
          <w:tcPr>
            <w:tcW w:w="1950" w:type="dxa"/>
            <w:noWrap w:val="0"/>
            <w:vAlign w:val="center"/>
          </w:tcPr>
          <w:p w14:paraId="534933C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集气罩</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旋风除尘+布袋除尘+二级沉降室</w:t>
            </w:r>
            <w:r>
              <w:rPr>
                <w:rFonts w:hint="default" w:ascii="Times New Roman" w:hAnsi="Times New Roman" w:eastAsia="宋体" w:cs="Times New Roman"/>
                <w:color w:val="000000" w:themeColor="text1"/>
                <w:szCs w:val="21"/>
                <w14:textFill>
                  <w14:solidFill>
                    <w14:schemeClr w14:val="tx1"/>
                  </w14:solidFill>
                </w14:textFill>
              </w:rPr>
              <w:t>+15m排气筒</w:t>
            </w:r>
          </w:p>
        </w:tc>
        <w:tc>
          <w:tcPr>
            <w:tcW w:w="2195" w:type="dxa"/>
            <w:noWrap w:val="0"/>
            <w:vAlign w:val="center"/>
          </w:tcPr>
          <w:p w14:paraId="52C08492">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《大气污染物综合排放标准》</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GB16297-1996</w:t>
            </w: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00052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continue"/>
            <w:noWrap w:val="0"/>
            <w:vAlign w:val="center"/>
          </w:tcPr>
          <w:p w14:paraId="40294F4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550" w:type="dxa"/>
            <w:noWrap w:val="0"/>
            <w:vAlign w:val="center"/>
          </w:tcPr>
          <w:p w14:paraId="31070DF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臭气排放口DA002</w:t>
            </w:r>
          </w:p>
        </w:tc>
        <w:tc>
          <w:tcPr>
            <w:tcW w:w="1530" w:type="dxa"/>
            <w:noWrap w:val="0"/>
            <w:vAlign w:val="center"/>
          </w:tcPr>
          <w:p w14:paraId="142C030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NH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、H</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S</w:t>
            </w:r>
          </w:p>
        </w:tc>
        <w:tc>
          <w:tcPr>
            <w:tcW w:w="1950" w:type="dxa"/>
            <w:noWrap w:val="0"/>
            <w:vAlign w:val="center"/>
          </w:tcPr>
          <w:p w14:paraId="754F497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一体化生物滤池</w:t>
            </w:r>
            <w:r>
              <w:rPr>
                <w:rFonts w:hint="default" w:ascii="Times New Roman" w:hAnsi="Times New Roman" w:eastAsia="宋体" w:cs="Times New Roman"/>
                <w:color w:val="000000" w:themeColor="text1"/>
                <w:szCs w:val="21"/>
                <w14:textFill>
                  <w14:solidFill>
                    <w14:schemeClr w14:val="tx1"/>
                  </w14:solidFill>
                </w14:textFill>
              </w:rPr>
              <w:t>+15m排气筒</w:t>
            </w:r>
          </w:p>
        </w:tc>
        <w:tc>
          <w:tcPr>
            <w:tcW w:w="2195" w:type="dxa"/>
            <w:noWrap w:val="0"/>
            <w:vAlign w:val="center"/>
          </w:tcPr>
          <w:p w14:paraId="0EA85B0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《恶臭污染物排放标准》（GB14554-93）</w:t>
            </w:r>
          </w:p>
        </w:tc>
      </w:tr>
      <w:tr w14:paraId="3FC95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continue"/>
            <w:noWrap w:val="0"/>
            <w:vAlign w:val="center"/>
          </w:tcPr>
          <w:p w14:paraId="2F42CBA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550" w:type="dxa"/>
            <w:noWrap w:val="0"/>
            <w:vAlign w:val="center"/>
          </w:tcPr>
          <w:p w14:paraId="3310B3B5">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燃烧废气排放口DA003</w:t>
            </w:r>
          </w:p>
        </w:tc>
        <w:tc>
          <w:tcPr>
            <w:tcW w:w="1530" w:type="dxa"/>
            <w:noWrap w:val="0"/>
            <w:vAlign w:val="center"/>
          </w:tcPr>
          <w:p w14:paraId="2A27514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粒物、二氧化硫、氮氧化物</w:t>
            </w:r>
          </w:p>
        </w:tc>
        <w:tc>
          <w:tcPr>
            <w:tcW w:w="1950" w:type="dxa"/>
            <w:noWrap w:val="0"/>
            <w:vAlign w:val="center"/>
          </w:tcPr>
          <w:p w14:paraId="4500357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低氮燃烧器+15m高排气筒</w:t>
            </w:r>
          </w:p>
        </w:tc>
        <w:tc>
          <w:tcPr>
            <w:tcW w:w="2195" w:type="dxa"/>
            <w:noWrap w:val="0"/>
            <w:vAlign w:val="center"/>
          </w:tcPr>
          <w:p w14:paraId="63BA5BA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《陕西省锅炉大气污染物排放标准》（DB61/1226-2018）表4燃油锅炉大气污染排放浓度限值要求</w:t>
            </w:r>
          </w:p>
        </w:tc>
      </w:tr>
      <w:tr w14:paraId="3CCB9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restart"/>
            <w:noWrap w:val="0"/>
            <w:vAlign w:val="center"/>
          </w:tcPr>
          <w:p w14:paraId="47D2C8B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地表水环境</w:t>
            </w:r>
          </w:p>
        </w:tc>
        <w:tc>
          <w:tcPr>
            <w:tcW w:w="1550" w:type="dxa"/>
            <w:noWrap w:val="0"/>
            <w:vAlign w:val="center"/>
          </w:tcPr>
          <w:p w14:paraId="37188F3E">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罐体清洗</w:t>
            </w:r>
            <w:r>
              <w:rPr>
                <w:rFonts w:hint="default" w:ascii="Times New Roman" w:hAnsi="Times New Roman" w:cs="Times New Roman"/>
                <w:bCs/>
                <w:color w:val="000000" w:themeColor="text1"/>
                <w:szCs w:val="21"/>
                <w:lang w:val="en-US" w:eastAsia="zh-CN" w:bidi="ar"/>
                <w14:textFill>
                  <w14:solidFill>
                    <w14:schemeClr w14:val="tx1"/>
                  </w14:solidFill>
                </w14:textFill>
              </w:rPr>
              <w:t>水</w:t>
            </w:r>
          </w:p>
        </w:tc>
        <w:tc>
          <w:tcPr>
            <w:tcW w:w="1530" w:type="dxa"/>
            <w:tcBorders>
              <w:bottom w:val="single" w:color="auto" w:sz="4" w:space="0"/>
            </w:tcBorders>
            <w:noWrap w:val="0"/>
            <w:vAlign w:val="center"/>
          </w:tcPr>
          <w:p w14:paraId="068E9070">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bCs/>
                <w:color w:val="000000" w:themeColor="text1"/>
                <w:szCs w:val="21"/>
                <w:lang w:val="en-US" w:eastAsia="zh-CN" w:bidi="ar"/>
                <w14:textFill>
                  <w14:solidFill>
                    <w14:schemeClr w14:val="tx1"/>
                  </w14:solidFill>
                </w14:textFill>
              </w:rPr>
              <w:t>/</w:t>
            </w:r>
          </w:p>
        </w:tc>
        <w:tc>
          <w:tcPr>
            <w:tcW w:w="1950" w:type="dxa"/>
            <w:tcBorders>
              <w:bottom w:val="single" w:color="auto" w:sz="4" w:space="0"/>
            </w:tcBorders>
            <w:noWrap w:val="0"/>
            <w:vAlign w:val="center"/>
          </w:tcPr>
          <w:p w14:paraId="6A2FEA99">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kern w:val="2"/>
                <w:sz w:val="21"/>
                <w:szCs w:val="21"/>
                <w:lang w:val="en-US" w:eastAsia="zh-CN" w:bidi="ar"/>
                <w14:textFill>
                  <w14:solidFill>
                    <w14:schemeClr w14:val="tx1"/>
                  </w14:solidFill>
                </w14:textFill>
              </w:rPr>
              <w:t>塑料桶收集后回用发酵工序</w:t>
            </w:r>
          </w:p>
        </w:tc>
        <w:tc>
          <w:tcPr>
            <w:tcW w:w="2195" w:type="dxa"/>
            <w:tcBorders>
              <w:bottom w:val="single" w:color="auto" w:sz="4" w:space="0"/>
            </w:tcBorders>
            <w:noWrap w:val="0"/>
            <w:vAlign w:val="center"/>
          </w:tcPr>
          <w:p w14:paraId="4830168C">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bCs/>
                <w:color w:val="000000" w:themeColor="text1"/>
                <w:szCs w:val="21"/>
                <w:lang w:val="en-US" w:eastAsia="zh-CN" w:bidi="ar"/>
                <w14:textFill>
                  <w14:solidFill>
                    <w14:schemeClr w14:val="tx1"/>
                  </w14:solidFill>
                </w14:textFill>
              </w:rPr>
              <w:t>/</w:t>
            </w:r>
          </w:p>
        </w:tc>
      </w:tr>
      <w:tr w14:paraId="3FD46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continue"/>
            <w:noWrap w:val="0"/>
            <w:vAlign w:val="center"/>
          </w:tcPr>
          <w:p w14:paraId="0E72E1AB">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550" w:type="dxa"/>
            <w:noWrap w:val="0"/>
            <w:vAlign w:val="center"/>
          </w:tcPr>
          <w:p w14:paraId="2E791798">
            <w:pPr>
              <w:adjustRightInd w:val="0"/>
              <w:snapToGrid w:val="0"/>
              <w:jc w:val="center"/>
              <w:rPr>
                <w:rFonts w:hint="eastAsia" w:cs="Times New Roman"/>
                <w:bCs/>
                <w:color w:val="000000" w:themeColor="text1"/>
                <w:szCs w:val="21"/>
                <w:lang w:val="en-US" w:eastAsia="zh-CN" w:bidi="ar"/>
                <w14:textFill>
                  <w14:solidFill>
                    <w14:schemeClr w14:val="tx1"/>
                  </w14:solidFill>
                </w14:textFill>
              </w:rPr>
            </w:pPr>
            <w:r>
              <w:rPr>
                <w:rFonts w:hint="default" w:ascii="Times New Roman" w:hAnsi="Times New Roman" w:cs="Times New Roman"/>
                <w:bCs/>
                <w:color w:val="auto"/>
                <w:szCs w:val="21"/>
                <w:lang w:val="en-US" w:eastAsia="zh-CN" w:bidi="ar"/>
              </w:rPr>
              <w:t>生产用水</w:t>
            </w:r>
          </w:p>
        </w:tc>
        <w:tc>
          <w:tcPr>
            <w:tcW w:w="1530" w:type="dxa"/>
            <w:tcBorders>
              <w:bottom w:val="single" w:color="auto" w:sz="4" w:space="0"/>
            </w:tcBorders>
            <w:noWrap w:val="0"/>
            <w:vAlign w:val="center"/>
          </w:tcPr>
          <w:p w14:paraId="63DF8172">
            <w:pPr>
              <w:adjustRightInd w:val="0"/>
              <w:snapToGrid w:val="0"/>
              <w:jc w:val="center"/>
              <w:rPr>
                <w:rFonts w:hint="default" w:ascii="Times New Roman" w:hAnsi="Times New Roman" w:cs="Times New Roman"/>
                <w:bCs/>
                <w:color w:val="000000" w:themeColor="text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w:t>
            </w:r>
          </w:p>
        </w:tc>
        <w:tc>
          <w:tcPr>
            <w:tcW w:w="1950" w:type="dxa"/>
            <w:tcBorders>
              <w:bottom w:val="single" w:color="auto" w:sz="4" w:space="0"/>
            </w:tcBorders>
            <w:noWrap w:val="0"/>
            <w:vAlign w:val="center"/>
          </w:tcPr>
          <w:p w14:paraId="29CA0C3D">
            <w:pPr>
              <w:adjustRightInd w:val="0"/>
              <w:snapToGrid w:val="0"/>
              <w:jc w:val="center"/>
              <w:rPr>
                <w:rFonts w:hint="eastAsia"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bCs/>
                <w:color w:val="auto"/>
                <w:szCs w:val="21"/>
                <w:lang w:val="en-US" w:eastAsia="zh-CN" w:bidi="ar"/>
              </w:rPr>
              <w:t>全部进入</w:t>
            </w:r>
            <w:r>
              <w:rPr>
                <w:rFonts w:hint="eastAsia" w:ascii="Times New Roman" w:hAnsi="Times New Roman" w:cs="Times New Roman"/>
                <w:bCs/>
                <w:color w:val="auto"/>
                <w:szCs w:val="21"/>
                <w:lang w:val="en-US" w:eastAsia="zh-CN" w:bidi="ar"/>
              </w:rPr>
              <w:t>发酵工序</w:t>
            </w:r>
          </w:p>
        </w:tc>
        <w:tc>
          <w:tcPr>
            <w:tcW w:w="2195" w:type="dxa"/>
            <w:tcBorders>
              <w:bottom w:val="single" w:color="auto" w:sz="4" w:space="0"/>
            </w:tcBorders>
            <w:noWrap w:val="0"/>
            <w:vAlign w:val="center"/>
          </w:tcPr>
          <w:p w14:paraId="3A49754F">
            <w:pPr>
              <w:adjustRightInd w:val="0"/>
              <w:snapToGrid w:val="0"/>
              <w:jc w:val="center"/>
              <w:rPr>
                <w:rFonts w:hint="default" w:ascii="Times New Roman" w:hAnsi="Times New Roman" w:cs="Times New Roman"/>
                <w:bCs/>
                <w:color w:val="000000" w:themeColor="text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w:t>
            </w:r>
          </w:p>
        </w:tc>
      </w:tr>
      <w:tr w14:paraId="1940F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continue"/>
            <w:noWrap w:val="0"/>
            <w:vAlign w:val="center"/>
          </w:tcPr>
          <w:p w14:paraId="566A37A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550" w:type="dxa"/>
            <w:noWrap w:val="0"/>
            <w:vAlign w:val="center"/>
          </w:tcPr>
          <w:p w14:paraId="23666957">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堆肥渗滤液</w:t>
            </w:r>
          </w:p>
        </w:tc>
        <w:tc>
          <w:tcPr>
            <w:tcW w:w="1530" w:type="dxa"/>
            <w:tcBorders>
              <w:bottom w:val="single" w:color="auto" w:sz="4" w:space="0"/>
            </w:tcBorders>
            <w:noWrap w:val="0"/>
            <w:vAlign w:val="center"/>
          </w:tcPr>
          <w:p w14:paraId="085A19B0">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bCs/>
                <w:color w:val="000000" w:themeColor="text1"/>
                <w:szCs w:val="21"/>
                <w:lang w:val="en-US" w:eastAsia="zh-CN" w:bidi="ar"/>
                <w14:textFill>
                  <w14:solidFill>
                    <w14:schemeClr w14:val="tx1"/>
                  </w14:solidFill>
                </w14:textFill>
              </w:rPr>
              <w:t>/</w:t>
            </w:r>
          </w:p>
        </w:tc>
        <w:tc>
          <w:tcPr>
            <w:tcW w:w="1950" w:type="dxa"/>
            <w:tcBorders>
              <w:bottom w:val="single" w:color="auto" w:sz="4" w:space="0"/>
            </w:tcBorders>
            <w:noWrap w:val="0"/>
            <w:vAlign w:val="center"/>
          </w:tcPr>
          <w:p w14:paraId="3314C676">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收集后拉运堆肥</w:t>
            </w:r>
          </w:p>
        </w:tc>
        <w:tc>
          <w:tcPr>
            <w:tcW w:w="2195" w:type="dxa"/>
            <w:tcBorders>
              <w:bottom w:val="single" w:color="auto" w:sz="4" w:space="0"/>
            </w:tcBorders>
            <w:noWrap w:val="0"/>
            <w:vAlign w:val="center"/>
          </w:tcPr>
          <w:p w14:paraId="4EF92A1E">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bCs/>
                <w:color w:val="000000" w:themeColor="text1"/>
                <w:szCs w:val="21"/>
                <w:lang w:val="en-US" w:eastAsia="zh-CN" w:bidi="ar"/>
                <w14:textFill>
                  <w14:solidFill>
                    <w14:schemeClr w14:val="tx1"/>
                  </w14:solidFill>
                </w14:textFill>
              </w:rPr>
              <w:t>/</w:t>
            </w:r>
          </w:p>
        </w:tc>
      </w:tr>
      <w:tr w14:paraId="52526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continue"/>
            <w:noWrap w:val="0"/>
            <w:vAlign w:val="center"/>
          </w:tcPr>
          <w:p w14:paraId="36C50AD6">
            <w:pPr>
              <w:pStyle w:val="18"/>
              <w:rPr>
                <w:rFonts w:hint="default" w:ascii="Times New Roman" w:hAnsi="Times New Roman" w:cs="Times New Roman"/>
                <w:color w:val="000000" w:themeColor="text1"/>
                <w:lang w:val="en-US" w:eastAsia="zh-CN"/>
                <w14:textFill>
                  <w14:solidFill>
                    <w14:schemeClr w14:val="tx1"/>
                  </w14:solidFill>
                </w14:textFill>
              </w:rPr>
            </w:pPr>
          </w:p>
        </w:tc>
        <w:tc>
          <w:tcPr>
            <w:tcW w:w="1550" w:type="dxa"/>
            <w:noWrap w:val="0"/>
            <w:vAlign w:val="center"/>
          </w:tcPr>
          <w:p w14:paraId="4D91B618">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bCs/>
                <w:color w:val="000000" w:themeColor="text1"/>
                <w:szCs w:val="21"/>
                <w:lang w:val="en-US" w:eastAsia="zh-CN" w:bidi="ar"/>
                <w14:textFill>
                  <w14:solidFill>
                    <w14:schemeClr w14:val="tx1"/>
                  </w14:solidFill>
                </w14:textFill>
              </w:rPr>
              <w:t>生活污水</w:t>
            </w:r>
          </w:p>
        </w:tc>
        <w:tc>
          <w:tcPr>
            <w:tcW w:w="1530" w:type="dxa"/>
            <w:tcBorders>
              <w:bottom w:val="single" w:color="auto" w:sz="4" w:space="0"/>
            </w:tcBorders>
            <w:noWrap w:val="0"/>
            <w:vAlign w:val="center"/>
          </w:tcPr>
          <w:p w14:paraId="1B81E04D">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szCs w:val="21"/>
                <w:lang w:val="en-US" w:eastAsia="zh-CN" w:bidi="ar"/>
                <w14:textFill>
                  <w14:solidFill>
                    <w14:schemeClr w14:val="tx1"/>
                  </w14:solidFill>
                </w14:textFill>
              </w:rPr>
              <w:t>/</w:t>
            </w:r>
          </w:p>
        </w:tc>
        <w:tc>
          <w:tcPr>
            <w:tcW w:w="1950" w:type="dxa"/>
            <w:tcBorders>
              <w:bottom w:val="single" w:color="auto" w:sz="4" w:space="0"/>
            </w:tcBorders>
            <w:noWrap w:val="0"/>
            <w:vAlign w:val="center"/>
          </w:tcPr>
          <w:p w14:paraId="0726BBFF">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化粪池处理后拉运堆肥</w:t>
            </w:r>
          </w:p>
        </w:tc>
        <w:tc>
          <w:tcPr>
            <w:tcW w:w="2195" w:type="dxa"/>
            <w:tcBorders>
              <w:bottom w:val="single" w:color="auto" w:sz="4" w:space="0"/>
            </w:tcBorders>
            <w:noWrap w:val="0"/>
            <w:vAlign w:val="center"/>
          </w:tcPr>
          <w:p w14:paraId="728F09E6">
            <w:pPr>
              <w:adjustRightInd w:val="0"/>
              <w:snapToGrid w:val="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szCs w:val="21"/>
                <w:lang w:val="en-US" w:eastAsia="zh-CN" w:bidi="ar"/>
                <w14:textFill>
                  <w14:solidFill>
                    <w14:schemeClr w14:val="tx1"/>
                  </w14:solidFill>
                </w14:textFill>
              </w:rPr>
              <w:t>/</w:t>
            </w:r>
          </w:p>
        </w:tc>
      </w:tr>
      <w:tr w14:paraId="02CDA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96" w:type="dxa"/>
            <w:vMerge w:val="restart"/>
            <w:noWrap w:val="0"/>
            <w:vAlign w:val="center"/>
          </w:tcPr>
          <w:p w14:paraId="721CA4F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声</w:t>
            </w:r>
            <w:r>
              <w:rPr>
                <w:rFonts w:hint="default" w:ascii="Times New Roman" w:hAnsi="Times New Roman" w:eastAsia="宋体" w:cs="Times New Roman"/>
                <w:color w:val="000000" w:themeColor="text1"/>
                <w:szCs w:val="21"/>
                <w14:textFill>
                  <w14:solidFill>
                    <w14:schemeClr w14:val="tx1"/>
                  </w14:solidFill>
                </w14:textFill>
              </w:rPr>
              <w:t>环境</w:t>
            </w:r>
          </w:p>
        </w:tc>
        <w:tc>
          <w:tcPr>
            <w:tcW w:w="1550" w:type="dxa"/>
            <w:noWrap w:val="0"/>
            <w:vAlign w:val="center"/>
          </w:tcPr>
          <w:p w14:paraId="0F15BCD3">
            <w:pPr>
              <w:adjustRightInd w:val="0"/>
              <w:snapToGrid w:val="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生产设备</w:t>
            </w:r>
          </w:p>
        </w:tc>
        <w:tc>
          <w:tcPr>
            <w:tcW w:w="1530" w:type="dxa"/>
            <w:noWrap w:val="0"/>
            <w:vAlign w:val="center"/>
          </w:tcPr>
          <w:p w14:paraId="5CB56C13">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噪声</w:t>
            </w:r>
          </w:p>
        </w:tc>
        <w:tc>
          <w:tcPr>
            <w:tcW w:w="1950" w:type="dxa"/>
            <w:noWrap w:val="0"/>
            <w:vAlign w:val="center"/>
          </w:tcPr>
          <w:p w14:paraId="7559D710">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szCs w:val="21"/>
                <w14:textFill>
                  <w14:solidFill>
                    <w14:schemeClr w14:val="tx1"/>
                  </w14:solidFill>
                </w14:textFill>
              </w:rPr>
              <w:t>基础减振、厂房隔声</w:t>
            </w:r>
            <w:r>
              <w:rPr>
                <w:rFonts w:hint="default" w:ascii="Times New Roman" w:hAnsi="Times New Roman" w:eastAsia="宋体" w:cs="Times New Roman"/>
                <w:snapToGrid w:val="0"/>
                <w:color w:val="000000" w:themeColor="text1"/>
                <w:szCs w:val="21"/>
                <w:lang w:eastAsia="zh-CN"/>
                <w14:textFill>
                  <w14:solidFill>
                    <w14:schemeClr w14:val="tx1"/>
                  </w14:solidFill>
                </w14:textFill>
              </w:rPr>
              <w:t>等措施</w:t>
            </w:r>
          </w:p>
        </w:tc>
        <w:tc>
          <w:tcPr>
            <w:tcW w:w="2195" w:type="dxa"/>
            <w:vMerge w:val="restart"/>
            <w:noWrap w:val="0"/>
            <w:vAlign w:val="center"/>
          </w:tcPr>
          <w:p w14:paraId="0AF92C4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《工业企业厂界环境噪声排放标准》（GB12348-2008）</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类标准要求</w:t>
            </w:r>
          </w:p>
        </w:tc>
      </w:tr>
      <w:tr w14:paraId="056C2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96" w:type="dxa"/>
            <w:vMerge w:val="continue"/>
            <w:noWrap w:val="0"/>
            <w:vAlign w:val="center"/>
          </w:tcPr>
          <w:p w14:paraId="70B12FE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550" w:type="dxa"/>
            <w:noWrap w:val="0"/>
            <w:vAlign w:val="center"/>
          </w:tcPr>
          <w:p w14:paraId="710AFE0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风机</w:t>
            </w:r>
          </w:p>
        </w:tc>
        <w:tc>
          <w:tcPr>
            <w:tcW w:w="1530" w:type="dxa"/>
            <w:noWrap w:val="0"/>
            <w:vAlign w:val="center"/>
          </w:tcPr>
          <w:p w14:paraId="48329CC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噪声</w:t>
            </w:r>
          </w:p>
        </w:tc>
        <w:tc>
          <w:tcPr>
            <w:tcW w:w="1950" w:type="dxa"/>
            <w:noWrap w:val="0"/>
            <w:vAlign w:val="center"/>
          </w:tcPr>
          <w:p w14:paraId="26C14CA8">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墙体隔声</w:t>
            </w:r>
            <w:r>
              <w:rPr>
                <w:rFonts w:hint="default" w:ascii="Times New Roman" w:hAnsi="Times New Roman" w:eastAsia="宋体" w:cs="Times New Roman"/>
                <w:color w:val="000000" w:themeColor="text1"/>
                <w:szCs w:val="21"/>
                <w:lang w:eastAsia="zh-CN"/>
                <w14:textFill>
                  <w14:solidFill>
                    <w14:schemeClr w14:val="tx1"/>
                  </w14:solidFill>
                </w14:textFill>
              </w:rPr>
              <w:t>及基础</w:t>
            </w:r>
            <w:r>
              <w:rPr>
                <w:rFonts w:hint="eastAsia" w:cs="Times New Roman"/>
                <w:color w:val="000000" w:themeColor="text1"/>
                <w:szCs w:val="21"/>
                <w:lang w:eastAsia="zh-CN"/>
                <w14:textFill>
                  <w14:solidFill>
                    <w14:schemeClr w14:val="tx1"/>
                  </w14:solidFill>
                </w14:textFill>
              </w:rPr>
              <w:t>减振</w:t>
            </w:r>
          </w:p>
        </w:tc>
        <w:tc>
          <w:tcPr>
            <w:tcW w:w="2195" w:type="dxa"/>
            <w:vMerge w:val="continue"/>
            <w:noWrap w:val="0"/>
            <w:vAlign w:val="center"/>
          </w:tcPr>
          <w:p w14:paraId="6B1135D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r>
      <w:tr w14:paraId="282ED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noWrap w:val="0"/>
            <w:vAlign w:val="center"/>
          </w:tcPr>
          <w:p w14:paraId="073FF89A">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电磁辐射</w:t>
            </w:r>
          </w:p>
        </w:tc>
        <w:tc>
          <w:tcPr>
            <w:tcW w:w="1550" w:type="dxa"/>
            <w:noWrap w:val="0"/>
            <w:vAlign w:val="center"/>
          </w:tcPr>
          <w:p w14:paraId="5C412617">
            <w:pPr>
              <w:adjustRightInd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c>
          <w:tcPr>
            <w:tcW w:w="1530" w:type="dxa"/>
            <w:noWrap w:val="0"/>
            <w:vAlign w:val="center"/>
          </w:tcPr>
          <w:p w14:paraId="02EE086F">
            <w:pPr>
              <w:adjustRightInd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c>
          <w:tcPr>
            <w:tcW w:w="1950" w:type="dxa"/>
            <w:noWrap w:val="0"/>
            <w:vAlign w:val="center"/>
          </w:tcPr>
          <w:p w14:paraId="19609335">
            <w:pPr>
              <w:adjustRightInd w:val="0"/>
              <w:snapToGrid w:val="0"/>
              <w:jc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c>
          <w:tcPr>
            <w:tcW w:w="2195" w:type="dxa"/>
            <w:noWrap w:val="0"/>
            <w:vAlign w:val="center"/>
          </w:tcPr>
          <w:p w14:paraId="307F527C">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r>
      <w:tr w14:paraId="19838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restart"/>
            <w:noWrap w:val="0"/>
            <w:vAlign w:val="center"/>
          </w:tcPr>
          <w:p w14:paraId="078DDAF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7225" w:type="dxa"/>
            <w:gridSpan w:val="4"/>
            <w:noWrap w:val="0"/>
            <w:vAlign w:val="center"/>
          </w:tcPr>
          <w:p w14:paraId="24A40E4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生活垃圾集中收集定点堆放，由环卫部门定期清运。</w:t>
            </w:r>
          </w:p>
        </w:tc>
      </w:tr>
      <w:tr w14:paraId="7605C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vMerge w:val="continue"/>
            <w:noWrap w:val="0"/>
            <w:vAlign w:val="center"/>
          </w:tcPr>
          <w:p w14:paraId="140BAC5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225" w:type="dxa"/>
            <w:gridSpan w:val="4"/>
            <w:noWrap w:val="0"/>
            <w:vAlign w:val="center"/>
          </w:tcPr>
          <w:p w14:paraId="2F04E8F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一般固废：回收粉尘定期清理后回用于生产，废包装材料收集后暂存于厂内一般固废暂存区，定期外售；</w:t>
            </w:r>
          </w:p>
          <w:p w14:paraId="21558F6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危险废物：设置危废贮存库对危险废物分类暂存，定期交由有资质单位转运处置</w:t>
            </w:r>
          </w:p>
        </w:tc>
      </w:tr>
      <w:tr w14:paraId="44E0F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noWrap w:val="0"/>
            <w:vAlign w:val="center"/>
          </w:tcPr>
          <w:p w14:paraId="4172C3B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土壤及地下水</w:t>
            </w:r>
          </w:p>
          <w:p w14:paraId="0AB10A9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污染防治措施</w:t>
            </w:r>
          </w:p>
        </w:tc>
        <w:tc>
          <w:tcPr>
            <w:tcW w:w="7225" w:type="dxa"/>
            <w:gridSpan w:val="4"/>
            <w:noWrap w:val="0"/>
            <w:vAlign w:val="center"/>
          </w:tcPr>
          <w:p w14:paraId="61694358">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厂房内地面硬化处理，</w:t>
            </w:r>
            <w:r>
              <w:rPr>
                <w:rFonts w:hint="eastAsia" w:ascii="Times New Roman" w:hAnsi="Times New Roman" w:eastAsia="宋体" w:cs="Times New Roman"/>
                <w:color w:val="000000" w:themeColor="text1"/>
                <w:szCs w:val="21"/>
                <w:lang w:val="en-US" w:eastAsia="zh-CN"/>
                <w14:textFill>
                  <w14:solidFill>
                    <w14:schemeClr w14:val="tx1"/>
                  </w14:solidFill>
                </w14:textFill>
              </w:rPr>
              <w:t>生产设施定期</w:t>
            </w:r>
            <w:r>
              <w:rPr>
                <w:rFonts w:hint="eastAsia" w:ascii="Times New Roman" w:hAnsi="Times New Roman" w:eastAsia="宋体" w:cs="Times New Roman"/>
                <w:color w:val="000000" w:themeColor="text1"/>
                <w:szCs w:val="21"/>
                <w:lang w:eastAsia="zh-CN"/>
                <w14:textFill>
                  <w14:solidFill>
                    <w14:schemeClr w14:val="tx1"/>
                  </w14:solidFill>
                </w14:textFill>
              </w:rPr>
              <w:t>进行维护保养，</w:t>
            </w:r>
            <w:r>
              <w:rPr>
                <w:rFonts w:hint="eastAsia" w:ascii="Times New Roman" w:hAnsi="Times New Roman" w:eastAsia="宋体" w:cs="Times New Roman"/>
                <w:color w:val="000000" w:themeColor="text1"/>
                <w:szCs w:val="21"/>
                <w:lang w:val="en-US" w:eastAsia="zh-CN"/>
                <w14:textFill>
                  <w14:solidFill>
                    <w14:schemeClr w14:val="tx1"/>
                  </w14:solidFill>
                </w14:textFill>
              </w:rPr>
              <w:t>可</w:t>
            </w:r>
            <w:r>
              <w:rPr>
                <w:rFonts w:hint="eastAsia" w:ascii="Times New Roman" w:hAnsi="Times New Roman" w:eastAsia="宋体" w:cs="Times New Roman"/>
                <w:color w:val="000000" w:themeColor="text1"/>
                <w:szCs w:val="21"/>
                <w:lang w:eastAsia="zh-CN"/>
                <w14:textFill>
                  <w14:solidFill>
                    <w14:schemeClr w14:val="tx1"/>
                  </w14:solidFill>
                </w14:textFill>
              </w:rPr>
              <w:t>杜绝出现油类物质泄漏事故，且厂内</w:t>
            </w:r>
            <w:r>
              <w:rPr>
                <w:rFonts w:hint="eastAsia" w:ascii="Times New Roman" w:hAnsi="Times New Roman" w:eastAsia="宋体" w:cs="Times New Roman"/>
                <w:color w:val="000000" w:themeColor="text1"/>
                <w:szCs w:val="21"/>
                <w:lang w:val="en-US" w:eastAsia="zh-CN"/>
                <w14:textFill>
                  <w14:solidFill>
                    <w14:schemeClr w14:val="tx1"/>
                  </w14:solidFill>
                </w14:textFill>
              </w:rPr>
              <w:t>地面已进行</w:t>
            </w:r>
            <w:r>
              <w:rPr>
                <w:rFonts w:hint="eastAsia" w:ascii="Times New Roman" w:hAnsi="Times New Roman" w:eastAsia="宋体" w:cs="Times New Roman"/>
                <w:color w:val="000000" w:themeColor="text1"/>
                <w:szCs w:val="21"/>
                <w:lang w:eastAsia="zh-CN"/>
                <w14:textFill>
                  <w14:solidFill>
                    <w14:schemeClr w14:val="tx1"/>
                  </w14:solidFill>
                </w14:textFill>
              </w:rPr>
              <w:t>硬化处理，即使发生少量泄漏事故，也不会直接接触并污染土壤</w:t>
            </w:r>
            <w:r>
              <w:rPr>
                <w:rFonts w:hint="eastAsia" w:ascii="Times New Roman" w:hAnsi="Times New Roman" w:eastAsia="宋体" w:cs="Times New Roman"/>
                <w:color w:val="000000" w:themeColor="text1"/>
                <w:szCs w:val="21"/>
                <w:lang w:val="en-US" w:eastAsia="zh-CN"/>
                <w14:textFill>
                  <w14:solidFill>
                    <w14:schemeClr w14:val="tx1"/>
                  </w14:solidFill>
                </w14:textFill>
              </w:rPr>
              <w:t>及地下水</w:t>
            </w:r>
          </w:p>
        </w:tc>
      </w:tr>
      <w:tr w14:paraId="2FD9B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noWrap w:val="0"/>
            <w:vAlign w:val="center"/>
          </w:tcPr>
          <w:p w14:paraId="271D9B6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生态保护措施</w:t>
            </w:r>
          </w:p>
        </w:tc>
        <w:tc>
          <w:tcPr>
            <w:tcW w:w="7225" w:type="dxa"/>
            <w:gridSpan w:val="4"/>
            <w:noWrap w:val="0"/>
            <w:vAlign w:val="center"/>
          </w:tcPr>
          <w:p w14:paraId="37D2EA8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0207D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noWrap w:val="0"/>
            <w:vAlign w:val="center"/>
          </w:tcPr>
          <w:p w14:paraId="67480C54">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环境风险防范措施</w:t>
            </w:r>
          </w:p>
        </w:tc>
        <w:tc>
          <w:tcPr>
            <w:tcW w:w="7225" w:type="dxa"/>
            <w:gridSpan w:val="4"/>
            <w:noWrap w:val="0"/>
            <w:vAlign w:val="center"/>
          </w:tcPr>
          <w:p w14:paraId="6D29B1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w:t>
            </w:r>
          </w:p>
        </w:tc>
      </w:tr>
      <w:tr w14:paraId="1D6E6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6" w:type="dxa"/>
            <w:noWrap w:val="0"/>
            <w:vAlign w:val="center"/>
          </w:tcPr>
          <w:p w14:paraId="51B57EBB">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其他环境</w:t>
            </w:r>
          </w:p>
          <w:p w14:paraId="642B9709">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14:textFill>
                  <w14:solidFill>
                    <w14:schemeClr w14:val="tx1"/>
                  </w14:solidFill>
                </w14:textFill>
              </w:rPr>
              <w:t>管理要求</w:t>
            </w:r>
          </w:p>
        </w:tc>
        <w:tc>
          <w:tcPr>
            <w:tcW w:w="7225" w:type="dxa"/>
            <w:gridSpan w:val="4"/>
            <w:noWrap w:val="0"/>
            <w:vAlign w:val="center"/>
          </w:tcPr>
          <w:p w14:paraId="706C9B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环境管理</w:t>
            </w:r>
            <w:r>
              <w:rPr>
                <w:rFonts w:hint="default" w:ascii="Times New Roman" w:hAnsi="Times New Roman" w:cs="Times New Roman"/>
                <w:color w:val="000000" w:themeColor="text1"/>
                <w:lang w:val="en-US" w:eastAsia="zh-CN"/>
                <w14:textFill>
                  <w14:solidFill>
                    <w14:schemeClr w14:val="tx1"/>
                  </w14:solidFill>
                </w14:textFill>
              </w:rPr>
              <w:t>要求</w:t>
            </w:r>
          </w:p>
          <w:p w14:paraId="5EF84F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（1）按照自行监测方案开展自行监测；</w:t>
            </w:r>
          </w:p>
          <w:p w14:paraId="0FB680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（2）按照排污许可证中环境管理台账记录要求记录相关内容，记录频次、形式等需满足排污许可证要求；</w:t>
            </w:r>
          </w:p>
          <w:p w14:paraId="61110F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（3）按照排污许可证中执行报告要求定期上报，上报内容需要符合要求；</w:t>
            </w:r>
          </w:p>
          <w:p w14:paraId="3719D5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（4）按照排污许可证要求定期开展信息公开。</w:t>
            </w:r>
          </w:p>
          <w:p w14:paraId="2E57A9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排污口规范化</w:t>
            </w:r>
          </w:p>
          <w:p w14:paraId="073A28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（1）固定噪声源</w:t>
            </w:r>
          </w:p>
          <w:p w14:paraId="7E6FB0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在固定噪声源对厂界噪声影响最大处，设置环境保护图形标志牌。</w:t>
            </w:r>
          </w:p>
          <w:p w14:paraId="508185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（2）固体废物贮存场所</w:t>
            </w:r>
          </w:p>
          <w:p w14:paraId="451DDB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本项目设置</w:t>
            </w:r>
            <w:r>
              <w:rPr>
                <w:rFonts w:hint="eastAsia" w:cs="Times New Roman"/>
                <w:color w:val="000000" w:themeColor="text1"/>
                <w:lang w:val="en-US" w:eastAsia="zh-CN"/>
                <w14:textFill>
                  <w14:solidFill>
                    <w14:schemeClr w14:val="tx1"/>
                  </w14:solidFill>
                </w14:textFill>
              </w:rPr>
              <w:t>一个</w:t>
            </w:r>
            <w:r>
              <w:rPr>
                <w:rFonts w:hint="default" w:ascii="Times New Roman" w:hAnsi="Times New Roman" w:cs="Times New Roman"/>
                <w:color w:val="000000" w:themeColor="text1"/>
                <w14:textFill>
                  <w14:solidFill>
                    <w14:schemeClr w14:val="tx1"/>
                  </w14:solidFill>
                </w14:textFill>
              </w:rPr>
              <w:t>固废临时贮场，为一般工业固废暂存区。</w:t>
            </w:r>
          </w:p>
          <w:p w14:paraId="27D0FC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固废贮存场所要求：</w:t>
            </w:r>
          </w:p>
          <w:p w14:paraId="5F9FE4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①固体废物贮存场所要有防火、防扬散、防流失、防渗漏、防雨措施；</w:t>
            </w:r>
          </w:p>
          <w:p w14:paraId="30F42C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②固体废物贮存场所在醒目处设置一个标志牌，具体按照《环境保护图形标志》规定制作。</w:t>
            </w:r>
          </w:p>
          <w:p w14:paraId="1933DD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（3）环境保护图形标志</w:t>
            </w:r>
          </w:p>
          <w:p w14:paraId="54041F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在厂区的废气排放口、噪声排放源、固体废物贮存处置场应设置环境保护图形标志，图形符号分为提示图形和警告图形符号两种，分别GB15562.1-1995、GB15562.2-1995执行。</w:t>
            </w:r>
          </w:p>
          <w:p w14:paraId="2B2DE3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环境保护图形符号见下表</w:t>
            </w:r>
            <w:r>
              <w:rPr>
                <w:rFonts w:hint="default" w:ascii="Times New Roman" w:hAnsi="Times New Roman" w:cs="Times New Roman"/>
                <w:color w:val="000000" w:themeColor="text1"/>
                <w:lang w:eastAsia="zh-CN"/>
                <w14:textFill>
                  <w14:solidFill>
                    <w14:schemeClr w14:val="tx1"/>
                  </w14:solidFill>
                </w14:textFill>
              </w:rPr>
              <w:t>。</w:t>
            </w:r>
          </w:p>
          <w:p w14:paraId="39DF0B47">
            <w:pPr>
              <w:pStyle w:val="4"/>
              <w:keepNext/>
              <w:keepLines/>
              <w:pageBreakBefore w:val="0"/>
              <w:widowControl/>
              <w:tabs>
                <w:tab w:val="left" w:pos="4140"/>
              </w:tabs>
              <w:kinsoku/>
              <w:wordWrap/>
              <w:overflowPunct/>
              <w:topLinePunct w:val="0"/>
              <w:autoSpaceDE/>
              <w:autoSpaceDN/>
              <w:bidi w:val="0"/>
              <w:adjustRightInd/>
              <w:snapToGrid/>
              <w:spacing w:before="0" w:line="240" w:lineRule="auto"/>
              <w:ind w:firstLine="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表 5-1  环境保护图形符号一览表</w:t>
            </w:r>
          </w:p>
          <w:tbl>
            <w:tblPr>
              <w:tblStyle w:val="22"/>
              <w:tblW w:w="4999"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37"/>
              <w:gridCol w:w="2815"/>
              <w:gridCol w:w="2126"/>
            </w:tblGrid>
            <w:tr w14:paraId="29EA77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1459" w:type="pct"/>
                  <w:tcBorders>
                    <w:bottom w:val="single" w:color="000000" w:sz="4" w:space="0"/>
                    <w:right w:val="single" w:color="000000" w:sz="4" w:space="0"/>
                  </w:tcBorders>
                  <w:noWrap w:val="0"/>
                  <w:vAlign w:val="center"/>
                </w:tcPr>
                <w:p w14:paraId="4EF33B52">
                  <w:pPr>
                    <w:pStyle w:val="46"/>
                    <w:pageBreakBefore w:val="0"/>
                    <w:kinsoku/>
                    <w:wordWrap/>
                    <w:overflowPunct/>
                    <w:topLinePunct w:val="0"/>
                    <w:autoSpaceDE/>
                    <w:autoSpaceDN/>
                    <w:bidi w:val="0"/>
                    <w:adjustRightInd/>
                    <w:snapToGrid/>
                    <w:spacing w:line="240" w:lineRule="auto"/>
                    <w:ind w:right="89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图形标志</w:t>
                  </w:r>
                </w:p>
              </w:tc>
              <w:tc>
                <w:tcPr>
                  <w:tcW w:w="2017" w:type="pct"/>
                  <w:tcBorders>
                    <w:left w:val="single" w:color="000000" w:sz="4" w:space="0"/>
                    <w:bottom w:val="single" w:color="000000" w:sz="4" w:space="0"/>
                    <w:right w:val="single" w:color="000000" w:sz="4" w:space="0"/>
                  </w:tcBorders>
                  <w:noWrap w:val="0"/>
                  <w:vAlign w:val="center"/>
                </w:tcPr>
                <w:p w14:paraId="07C5316A">
                  <w:pPr>
                    <w:pStyle w:val="46"/>
                    <w:pageBreakBefore w:val="0"/>
                    <w:kinsoku/>
                    <w:wordWrap/>
                    <w:overflowPunct/>
                    <w:topLinePunct w:val="0"/>
                    <w:autoSpaceDE/>
                    <w:autoSpaceDN/>
                    <w:bidi w:val="0"/>
                    <w:adjustRightInd/>
                    <w:snapToGrid/>
                    <w:spacing w:line="240" w:lineRule="auto"/>
                    <w:ind w:left="867"/>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图形代表意义</w:t>
                  </w:r>
                </w:p>
              </w:tc>
              <w:tc>
                <w:tcPr>
                  <w:tcW w:w="1523" w:type="pct"/>
                  <w:tcBorders>
                    <w:left w:val="single" w:color="000000" w:sz="4" w:space="0"/>
                    <w:bottom w:val="single" w:color="000000" w:sz="4" w:space="0"/>
                  </w:tcBorders>
                  <w:noWrap w:val="0"/>
                  <w:vAlign w:val="center"/>
                </w:tcPr>
                <w:p w14:paraId="05F3AF3B">
                  <w:pPr>
                    <w:pStyle w:val="46"/>
                    <w:pageBreakBefore w:val="0"/>
                    <w:kinsoku/>
                    <w:wordWrap/>
                    <w:overflowPunct/>
                    <w:topLinePunct w:val="0"/>
                    <w:autoSpaceDE/>
                    <w:autoSpaceDN/>
                    <w:bidi w:val="0"/>
                    <w:adjustRightInd/>
                    <w:snapToGrid/>
                    <w:spacing w:line="240" w:lineRule="auto"/>
                    <w:ind w:left="395" w:right="36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符号简介</w:t>
                  </w:r>
                </w:p>
              </w:tc>
            </w:tr>
            <w:tr w14:paraId="038AB3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jc w:val="center"/>
              </w:trPr>
              <w:tc>
                <w:tcPr>
                  <w:tcW w:w="1459" w:type="pct"/>
                  <w:tcBorders>
                    <w:top w:val="single" w:color="000000" w:sz="4" w:space="0"/>
                    <w:bottom w:val="single" w:color="000000" w:sz="4" w:space="0"/>
                    <w:right w:val="single" w:color="000000" w:sz="4" w:space="0"/>
                  </w:tcBorders>
                  <w:noWrap w:val="0"/>
                  <w:vAlign w:val="center"/>
                </w:tcPr>
                <w:p w14:paraId="72C83D24">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721360" cy="722630"/>
                        <wp:effectExtent l="0" t="0" r="2540" b="12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2"/>
                                <a:stretch>
                                  <a:fillRect/>
                                </a:stretch>
                              </pic:blipFill>
                              <pic:spPr>
                                <a:xfrm>
                                  <a:off x="0" y="0"/>
                                  <a:ext cx="721360" cy="722630"/>
                                </a:xfrm>
                                <a:prstGeom prst="rect">
                                  <a:avLst/>
                                </a:prstGeom>
                                <a:noFill/>
                                <a:ln>
                                  <a:noFill/>
                                </a:ln>
                              </pic:spPr>
                            </pic:pic>
                          </a:graphicData>
                        </a:graphic>
                      </wp:inline>
                    </w:drawing>
                  </w:r>
                </w:p>
              </w:tc>
              <w:tc>
                <w:tcPr>
                  <w:tcW w:w="2017" w:type="pct"/>
                  <w:tcBorders>
                    <w:top w:val="single" w:color="000000" w:sz="4" w:space="0"/>
                    <w:left w:val="single" w:color="000000" w:sz="4" w:space="0"/>
                    <w:bottom w:val="single" w:color="000000" w:sz="4" w:space="0"/>
                    <w:right w:val="single" w:color="000000" w:sz="4" w:space="0"/>
                  </w:tcBorders>
                  <w:noWrap w:val="0"/>
                  <w:vAlign w:val="center"/>
                </w:tcPr>
                <w:p w14:paraId="6DCEC1F1">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标志名称：噪声排放源</w:t>
                  </w:r>
                </w:p>
                <w:p w14:paraId="37CA1BD4">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国标代码GB15562.1-1995</w:t>
                  </w:r>
                </w:p>
              </w:tc>
              <w:tc>
                <w:tcPr>
                  <w:tcW w:w="1523" w:type="pct"/>
                  <w:tcBorders>
                    <w:top w:val="single" w:color="000000" w:sz="4" w:space="0"/>
                    <w:left w:val="single" w:color="000000" w:sz="4" w:space="0"/>
                    <w:bottom w:val="single" w:color="000000" w:sz="4" w:space="0"/>
                  </w:tcBorders>
                  <w:noWrap w:val="0"/>
                  <w:vAlign w:val="center"/>
                </w:tcPr>
                <w:p w14:paraId="5DC30C94">
                  <w:pPr>
                    <w:pStyle w:val="46"/>
                    <w:pageBreakBefore w:val="0"/>
                    <w:kinsoku/>
                    <w:wordWrap/>
                    <w:overflowPunct/>
                    <w:topLinePunct w:val="0"/>
                    <w:autoSpaceDE/>
                    <w:autoSpaceDN/>
                    <w:bidi w:val="0"/>
                    <w:adjustRightInd/>
                    <w:snapToGrid/>
                    <w:spacing w:line="240" w:lineRule="auto"/>
                    <w:ind w:right="3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提示图形符号噪声排放源表示噪声向外环境排放</w:t>
                  </w:r>
                </w:p>
              </w:tc>
            </w:tr>
            <w:tr w14:paraId="0E47F1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jc w:val="center"/>
              </w:trPr>
              <w:tc>
                <w:tcPr>
                  <w:tcW w:w="1459" w:type="pct"/>
                  <w:tcBorders>
                    <w:top w:val="single" w:color="000000" w:sz="4" w:space="0"/>
                    <w:bottom w:val="single" w:color="000000" w:sz="4" w:space="0"/>
                    <w:right w:val="single" w:color="000000" w:sz="4" w:space="0"/>
                  </w:tcBorders>
                  <w:noWrap w:val="0"/>
                  <w:vAlign w:val="center"/>
                </w:tcPr>
                <w:p w14:paraId="7634BEED">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754380" cy="731520"/>
                        <wp:effectExtent l="0" t="0" r="7620" b="114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a:stretch>
                                  <a:fillRect/>
                                </a:stretch>
                              </pic:blipFill>
                              <pic:spPr>
                                <a:xfrm>
                                  <a:off x="0" y="0"/>
                                  <a:ext cx="754380" cy="731520"/>
                                </a:xfrm>
                                <a:prstGeom prst="rect">
                                  <a:avLst/>
                                </a:prstGeom>
                                <a:noFill/>
                                <a:ln>
                                  <a:noFill/>
                                </a:ln>
                              </pic:spPr>
                            </pic:pic>
                          </a:graphicData>
                        </a:graphic>
                      </wp:inline>
                    </w:drawing>
                  </w:r>
                </w:p>
              </w:tc>
              <w:tc>
                <w:tcPr>
                  <w:tcW w:w="2017" w:type="pct"/>
                  <w:tcBorders>
                    <w:top w:val="single" w:color="000000" w:sz="4" w:space="0"/>
                    <w:left w:val="single" w:color="000000" w:sz="4" w:space="0"/>
                    <w:bottom w:val="single" w:color="000000" w:sz="4" w:space="0"/>
                    <w:right w:val="single" w:color="000000" w:sz="4" w:space="0"/>
                  </w:tcBorders>
                  <w:noWrap w:val="0"/>
                  <w:vAlign w:val="center"/>
                </w:tcPr>
                <w:p w14:paraId="71C5EB3D">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标志名称：噪声排放源</w:t>
                  </w:r>
                </w:p>
                <w:p w14:paraId="43F4295E">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国标代码GB15562.1-1995</w:t>
                  </w:r>
                </w:p>
              </w:tc>
              <w:tc>
                <w:tcPr>
                  <w:tcW w:w="1523" w:type="pct"/>
                  <w:tcBorders>
                    <w:top w:val="single" w:color="000000" w:sz="4" w:space="0"/>
                    <w:left w:val="single" w:color="000000" w:sz="4" w:space="0"/>
                    <w:bottom w:val="single" w:color="000000" w:sz="4" w:space="0"/>
                  </w:tcBorders>
                  <w:noWrap w:val="0"/>
                  <w:vAlign w:val="center"/>
                </w:tcPr>
                <w:p w14:paraId="55BB5AFA">
                  <w:pPr>
                    <w:pStyle w:val="46"/>
                    <w:pageBreakBefore w:val="0"/>
                    <w:kinsoku/>
                    <w:wordWrap/>
                    <w:overflowPunct/>
                    <w:topLinePunct w:val="0"/>
                    <w:autoSpaceDE/>
                    <w:autoSpaceDN/>
                    <w:bidi w:val="0"/>
                    <w:adjustRightInd/>
                    <w:snapToGrid/>
                    <w:spacing w:line="240" w:lineRule="auto"/>
                    <w:ind w:right="3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警告图形符号噪声排放源表示噪声向外环境排放</w:t>
                  </w:r>
                </w:p>
              </w:tc>
            </w:tr>
            <w:tr w14:paraId="1AFBA9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1459" w:type="pct"/>
                  <w:tcBorders>
                    <w:top w:val="single" w:color="000000" w:sz="4" w:space="0"/>
                    <w:bottom w:val="single" w:color="000000" w:sz="4" w:space="0"/>
                    <w:right w:val="single" w:color="000000" w:sz="4" w:space="0"/>
                  </w:tcBorders>
                  <w:noWrap w:val="0"/>
                  <w:vAlign w:val="center"/>
                </w:tcPr>
                <w:p w14:paraId="44F3BC96">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52805" cy="701675"/>
                        <wp:effectExtent l="0" t="0" r="4445" b="317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4"/>
                                <a:stretch>
                                  <a:fillRect/>
                                </a:stretch>
                              </pic:blipFill>
                              <pic:spPr>
                                <a:xfrm>
                                  <a:off x="0" y="0"/>
                                  <a:ext cx="852805" cy="701675"/>
                                </a:xfrm>
                                <a:prstGeom prst="rect">
                                  <a:avLst/>
                                </a:prstGeom>
                                <a:noFill/>
                                <a:ln>
                                  <a:noFill/>
                                </a:ln>
                              </pic:spPr>
                            </pic:pic>
                          </a:graphicData>
                        </a:graphic>
                      </wp:inline>
                    </w:drawing>
                  </w:r>
                </w:p>
              </w:tc>
              <w:tc>
                <w:tcPr>
                  <w:tcW w:w="2017" w:type="pct"/>
                  <w:tcBorders>
                    <w:top w:val="single" w:color="000000" w:sz="4" w:space="0"/>
                    <w:left w:val="single" w:color="000000" w:sz="4" w:space="0"/>
                    <w:bottom w:val="single" w:color="000000" w:sz="4" w:space="0"/>
                    <w:right w:val="single" w:color="000000" w:sz="4" w:space="0"/>
                  </w:tcBorders>
                  <w:noWrap w:val="0"/>
                  <w:vAlign w:val="center"/>
                </w:tcPr>
                <w:p w14:paraId="34C29766">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标志名称：固体废物提示</w:t>
                  </w:r>
                </w:p>
                <w:p w14:paraId="7F90DC6C">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国标代码：GB15562.1-1995</w:t>
                  </w:r>
                </w:p>
              </w:tc>
              <w:tc>
                <w:tcPr>
                  <w:tcW w:w="1523" w:type="pct"/>
                  <w:tcBorders>
                    <w:top w:val="single" w:color="000000" w:sz="4" w:space="0"/>
                    <w:left w:val="single" w:color="000000" w:sz="4" w:space="0"/>
                    <w:bottom w:val="single" w:color="000000" w:sz="4" w:space="0"/>
                  </w:tcBorders>
                  <w:noWrap w:val="0"/>
                  <w:vAlign w:val="center"/>
                </w:tcPr>
                <w:p w14:paraId="22859D23">
                  <w:pPr>
                    <w:pStyle w:val="46"/>
                    <w:pageBreakBefore w:val="0"/>
                    <w:kinsoku/>
                    <w:wordWrap/>
                    <w:overflowPunct/>
                    <w:topLinePunct w:val="0"/>
                    <w:autoSpaceDE/>
                    <w:autoSpaceDN/>
                    <w:bidi w:val="0"/>
                    <w:adjustRightInd/>
                    <w:snapToGrid/>
                    <w:spacing w:line="240" w:lineRule="auto"/>
                    <w:ind w:right="369"/>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固体废物提示</w:t>
                  </w:r>
                </w:p>
              </w:tc>
            </w:tr>
            <w:tr w14:paraId="168FDF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jc w:val="center"/>
              </w:trPr>
              <w:tc>
                <w:tcPr>
                  <w:tcW w:w="1459" w:type="pct"/>
                  <w:tcBorders>
                    <w:top w:val="single" w:color="000000" w:sz="4" w:space="0"/>
                    <w:bottom w:val="single" w:color="000000" w:sz="4" w:space="0"/>
                    <w:right w:val="single" w:color="000000" w:sz="4" w:space="0"/>
                  </w:tcBorders>
                  <w:noWrap w:val="0"/>
                  <w:vAlign w:val="center"/>
                </w:tcPr>
                <w:p w14:paraId="11F2BA04">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03275" cy="755650"/>
                        <wp:effectExtent l="0" t="0" r="15875" b="63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5"/>
                                <a:stretch>
                                  <a:fillRect/>
                                </a:stretch>
                              </pic:blipFill>
                              <pic:spPr>
                                <a:xfrm>
                                  <a:off x="0" y="0"/>
                                  <a:ext cx="803275" cy="755650"/>
                                </a:xfrm>
                                <a:prstGeom prst="rect">
                                  <a:avLst/>
                                </a:prstGeom>
                                <a:noFill/>
                                <a:ln>
                                  <a:noFill/>
                                </a:ln>
                              </pic:spPr>
                            </pic:pic>
                          </a:graphicData>
                        </a:graphic>
                      </wp:inline>
                    </w:drawing>
                  </w:r>
                </w:p>
              </w:tc>
              <w:tc>
                <w:tcPr>
                  <w:tcW w:w="2017" w:type="pct"/>
                  <w:tcBorders>
                    <w:top w:val="single" w:color="000000" w:sz="4" w:space="0"/>
                    <w:left w:val="single" w:color="000000" w:sz="4" w:space="0"/>
                    <w:bottom w:val="single" w:color="000000" w:sz="4" w:space="0"/>
                    <w:right w:val="single" w:color="000000" w:sz="4" w:space="0"/>
                  </w:tcBorders>
                  <w:noWrap w:val="0"/>
                  <w:vAlign w:val="center"/>
                </w:tcPr>
                <w:p w14:paraId="05BD386A">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标志名称：一般固体废物</w:t>
                  </w:r>
                </w:p>
                <w:p w14:paraId="75BEBFEF">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国标代码：GB15562.1-1995</w:t>
                  </w:r>
                </w:p>
              </w:tc>
              <w:tc>
                <w:tcPr>
                  <w:tcW w:w="1523" w:type="pct"/>
                  <w:tcBorders>
                    <w:top w:val="single" w:color="000000" w:sz="4" w:space="0"/>
                    <w:left w:val="single" w:color="000000" w:sz="4" w:space="0"/>
                    <w:bottom w:val="single" w:color="000000" w:sz="4" w:space="0"/>
                  </w:tcBorders>
                  <w:noWrap w:val="0"/>
                  <w:vAlign w:val="center"/>
                </w:tcPr>
                <w:p w14:paraId="3CFA906E">
                  <w:pPr>
                    <w:pStyle w:val="46"/>
                    <w:pageBreakBefore w:val="0"/>
                    <w:kinsoku/>
                    <w:wordWrap/>
                    <w:overflowPunct/>
                    <w:topLinePunct w:val="0"/>
                    <w:autoSpaceDE/>
                    <w:autoSpaceDN/>
                    <w:bidi w:val="0"/>
                    <w:adjustRightInd/>
                    <w:snapToGrid/>
                    <w:spacing w:line="240" w:lineRule="auto"/>
                    <w:ind w:right="369"/>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一般固体废物</w:t>
                  </w:r>
                </w:p>
              </w:tc>
            </w:tr>
            <w:tr w14:paraId="6F00DE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jc w:val="center"/>
              </w:trPr>
              <w:tc>
                <w:tcPr>
                  <w:tcW w:w="1459" w:type="pct"/>
                  <w:tcBorders>
                    <w:top w:val="single" w:color="000000" w:sz="4" w:space="0"/>
                    <w:bottom w:val="single" w:color="000000" w:sz="4" w:space="0"/>
                    <w:right w:val="single" w:color="000000" w:sz="4" w:space="0"/>
                  </w:tcBorders>
                  <w:noWrap w:val="0"/>
                  <w:vAlign w:val="center"/>
                </w:tcPr>
                <w:p w14:paraId="20491ABB">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auto"/>
                    </w:rPr>
                    <w:drawing>
                      <wp:anchor distT="0" distB="0" distL="114300" distR="114300" simplePos="0" relativeHeight="251661312" behindDoc="0" locked="0" layoutInCell="1" allowOverlap="1">
                        <wp:simplePos x="0" y="0"/>
                        <wp:positionH relativeFrom="column">
                          <wp:posOffset>241300</wp:posOffset>
                        </wp:positionH>
                        <wp:positionV relativeFrom="paragraph">
                          <wp:posOffset>71120</wp:posOffset>
                        </wp:positionV>
                        <wp:extent cx="792480" cy="708025"/>
                        <wp:effectExtent l="0" t="0" r="7620" b="15875"/>
                        <wp:wrapNone/>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26"/>
                                <a:stretch>
                                  <a:fillRect/>
                                </a:stretch>
                              </pic:blipFill>
                              <pic:spPr>
                                <a:xfrm>
                                  <a:off x="0" y="0"/>
                                  <a:ext cx="792480" cy="708025"/>
                                </a:xfrm>
                                <a:prstGeom prst="rect">
                                  <a:avLst/>
                                </a:prstGeom>
                                <a:noFill/>
                                <a:ln>
                                  <a:noFill/>
                                </a:ln>
                              </pic:spPr>
                            </pic:pic>
                          </a:graphicData>
                        </a:graphic>
                      </wp:anchor>
                    </w:drawing>
                  </w:r>
                </w:p>
              </w:tc>
              <w:tc>
                <w:tcPr>
                  <w:tcW w:w="2017" w:type="pct"/>
                  <w:tcBorders>
                    <w:top w:val="single" w:color="000000" w:sz="4" w:space="0"/>
                    <w:left w:val="single" w:color="000000" w:sz="4" w:space="0"/>
                    <w:bottom w:val="single" w:color="000000" w:sz="4" w:space="0"/>
                    <w:right w:val="single" w:color="000000" w:sz="4" w:space="0"/>
                  </w:tcBorders>
                  <w:noWrap w:val="0"/>
                  <w:vAlign w:val="center"/>
                </w:tcPr>
                <w:p w14:paraId="7F9629A8">
                  <w:pPr>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t>标志名称：危险废物</w:t>
                  </w:r>
                </w:p>
                <w:p w14:paraId="1CCB630E">
                  <w:pPr>
                    <w:pStyle w:val="4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t>国标代码：</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《危险废物识别标志设置技术规范》HJ1276-2022</w:t>
                  </w:r>
                </w:p>
              </w:tc>
              <w:tc>
                <w:tcPr>
                  <w:tcW w:w="1523" w:type="pct"/>
                  <w:tcBorders>
                    <w:top w:val="single" w:color="000000" w:sz="4" w:space="0"/>
                    <w:left w:val="single" w:color="000000" w:sz="4" w:space="0"/>
                    <w:bottom w:val="single" w:color="000000" w:sz="4" w:space="0"/>
                  </w:tcBorders>
                  <w:noWrap w:val="0"/>
                  <w:vAlign w:val="center"/>
                </w:tcPr>
                <w:p w14:paraId="5C589A5E">
                  <w:pPr>
                    <w:pStyle w:val="46"/>
                    <w:pageBreakBefore w:val="0"/>
                    <w:kinsoku/>
                    <w:wordWrap/>
                    <w:overflowPunct/>
                    <w:topLinePunct w:val="0"/>
                    <w:autoSpaceDE/>
                    <w:autoSpaceDN/>
                    <w:bidi w:val="0"/>
                    <w:adjustRightInd/>
                    <w:snapToGrid/>
                    <w:spacing w:line="240" w:lineRule="auto"/>
                    <w:ind w:right="369"/>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w:t>
                  </w:r>
                </w:p>
              </w:tc>
            </w:tr>
          </w:tbl>
          <w:p w14:paraId="685059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排污口规范化管理具体要求见下表。</w:t>
            </w:r>
          </w:p>
          <w:p w14:paraId="00071A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表 5-</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 xml:space="preserve"> 排污口规范化管理要求表</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4890"/>
            </w:tblGrid>
            <w:tr w14:paraId="6DDCB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6" w:type="pct"/>
                  <w:tcBorders>
                    <w:tl2br w:val="nil"/>
                    <w:tr2bl w:val="nil"/>
                  </w:tcBorders>
                  <w:noWrap w:val="0"/>
                  <w:vAlign w:val="center"/>
                </w:tcPr>
                <w:p w14:paraId="203FD3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c>
                <w:tcPr>
                  <w:tcW w:w="3503" w:type="pct"/>
                  <w:tcBorders>
                    <w:tl2br w:val="nil"/>
                    <w:tr2bl w:val="nil"/>
                  </w:tcBorders>
                  <w:noWrap w:val="0"/>
                  <w:vAlign w:val="center"/>
                </w:tcPr>
                <w:p w14:paraId="53843B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主要要求内容</w:t>
                  </w:r>
                </w:p>
              </w:tc>
            </w:tr>
            <w:tr w14:paraId="4D242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6" w:type="pct"/>
                  <w:tcBorders>
                    <w:tl2br w:val="nil"/>
                    <w:tr2bl w:val="nil"/>
                  </w:tcBorders>
                  <w:noWrap w:val="0"/>
                  <w:vAlign w:val="center"/>
                </w:tcPr>
                <w:p w14:paraId="3C1A1C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基本原则</w:t>
                  </w:r>
                </w:p>
              </w:tc>
              <w:tc>
                <w:tcPr>
                  <w:tcW w:w="3503" w:type="pct"/>
                  <w:tcBorders>
                    <w:tl2br w:val="nil"/>
                    <w:tr2bl w:val="nil"/>
                  </w:tcBorders>
                  <w:noWrap w:val="0"/>
                  <w:vAlign w:val="center"/>
                </w:tcPr>
                <w:p w14:paraId="039A92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1、凡向环境排放污染物的一切排污口必须进行规范化管理；</w:t>
                  </w:r>
                </w:p>
                <w:p w14:paraId="018D35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2、将总量控制的污染物排污口及行业特征污染物排放口列为管理的重点；</w:t>
                  </w:r>
                </w:p>
                <w:p w14:paraId="20CCA0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3、排污口设置应便于采样和计量监测，便于日常现场监督和检查；</w:t>
                  </w:r>
                </w:p>
                <w:p w14:paraId="79466D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4、如实向环保行政主管部门申报排污口位置，排污种类、数量、浓度与排放去向等。</w:t>
                  </w:r>
                </w:p>
              </w:tc>
            </w:tr>
            <w:tr w14:paraId="1E8D7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6" w:type="pct"/>
                  <w:tcBorders>
                    <w:tl2br w:val="nil"/>
                    <w:tr2bl w:val="nil"/>
                  </w:tcBorders>
                  <w:noWrap w:val="0"/>
                  <w:vAlign w:val="center"/>
                </w:tcPr>
                <w:p w14:paraId="54D80C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技术要求</w:t>
                  </w:r>
                </w:p>
              </w:tc>
              <w:tc>
                <w:tcPr>
                  <w:tcW w:w="3503" w:type="pct"/>
                  <w:tcBorders>
                    <w:tl2br w:val="nil"/>
                    <w:tr2bl w:val="nil"/>
                  </w:tcBorders>
                  <w:noWrap w:val="0"/>
                  <w:vAlign w:val="center"/>
                </w:tcPr>
                <w:p w14:paraId="0749B1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1、排污口位置</w:t>
                  </w:r>
                  <w:r>
                    <w:rPr>
                      <w:rFonts w:hint="default" w:cs="Times New Roman"/>
                      <w:color w:val="000000" w:themeColor="text1"/>
                      <w:lang w:eastAsia="zh-CN"/>
                      <w14:textFill>
                        <w14:solidFill>
                          <w14:schemeClr w14:val="tx1"/>
                        </w14:solidFill>
                      </w14:textFill>
                    </w:rPr>
                    <w:t>必须按照环监</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lang w:eastAsia="zh-CN"/>
                      <w14:textFill>
                        <w14:solidFill>
                          <w14:schemeClr w14:val="tx1"/>
                        </w14:solidFill>
                      </w14:textFill>
                    </w:rPr>
                    <w:t>1996</w:t>
                  </w:r>
                  <w:r>
                    <w:rPr>
                      <w:rFonts w:hint="eastAsia" w:cs="Times New Roman"/>
                      <w:color w:val="000000" w:themeColor="text1"/>
                      <w:lang w:eastAsia="zh-CN"/>
                      <w14:textFill>
                        <w14:solidFill>
                          <w14:schemeClr w14:val="tx1"/>
                        </w14:solidFill>
                      </w14:textFill>
                    </w:rPr>
                    <w:t>）</w:t>
                  </w:r>
                  <w:r>
                    <w:rPr>
                      <w:rFonts w:hint="default" w:cs="Times New Roman"/>
                      <w:color w:val="000000" w:themeColor="text1"/>
                      <w:lang w:eastAsia="zh-CN"/>
                      <w14:textFill>
                        <w14:solidFill>
                          <w14:schemeClr w14:val="tx1"/>
                        </w14:solidFill>
                      </w14:textFill>
                    </w:rPr>
                    <w:t>470号文要求合理确定，实行规范化管理；</w:t>
                  </w:r>
                </w:p>
                <w:p w14:paraId="0A939A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cs="Times New Roman"/>
                      <w:color w:val="000000" w:themeColor="text1"/>
                      <w:lang w:eastAsia="zh-CN"/>
                      <w14:textFill>
                        <w14:solidFill>
                          <w14:schemeClr w14:val="tx1"/>
                        </w14:solidFill>
                      </w14:textFill>
                    </w:rPr>
                    <w:t>2、具体设置应符合《污染源监测技术规范》</w:t>
                  </w:r>
                  <w:r>
                    <w:rPr>
                      <w:rFonts w:hint="default" w:ascii="Times New Roman" w:hAnsi="Times New Roman" w:cs="Times New Roman"/>
                      <w:color w:val="000000" w:themeColor="text1"/>
                      <w:lang w:eastAsia="zh-CN"/>
                      <w14:textFill>
                        <w14:solidFill>
                          <w14:schemeClr w14:val="tx1"/>
                        </w14:solidFill>
                      </w14:textFill>
                    </w:rPr>
                    <w:t>的规定与要求。</w:t>
                  </w:r>
                </w:p>
              </w:tc>
            </w:tr>
            <w:tr w14:paraId="01234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6" w:type="pct"/>
                  <w:tcBorders>
                    <w:tl2br w:val="nil"/>
                    <w:tr2bl w:val="nil"/>
                  </w:tcBorders>
                  <w:noWrap w:val="0"/>
                  <w:vAlign w:val="center"/>
                </w:tcPr>
                <w:p w14:paraId="4E34B8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立标管理</w:t>
                  </w:r>
                </w:p>
              </w:tc>
              <w:tc>
                <w:tcPr>
                  <w:tcW w:w="3503" w:type="pct"/>
                  <w:tcBorders>
                    <w:tl2br w:val="nil"/>
                    <w:tr2bl w:val="nil"/>
                  </w:tcBorders>
                  <w:noWrap w:val="0"/>
                  <w:vAlign w:val="center"/>
                </w:tcPr>
                <w:p w14:paraId="1DC73F76">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排污口必须按照国家《环境保护图形标志》相关规定，设置环保图形标志牌；</w:t>
                  </w:r>
                </w:p>
                <w:p w14:paraId="02F991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2、标志牌设置位置应距排污口及固体废物贮存</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处置</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场或采样点较近且醒目处，设置高度一般为标志牌上缘距离地面约2m；</w:t>
                  </w:r>
                </w:p>
                <w:p w14:paraId="1A7207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3、重点排污单位排污口设立式标志牌，一般单位排污口可设立式或平面固定式提示性环保图形标志牌；</w:t>
                  </w:r>
                </w:p>
              </w:tc>
            </w:tr>
            <w:tr w14:paraId="220AF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6" w:type="pct"/>
                  <w:tcBorders>
                    <w:tl2br w:val="nil"/>
                    <w:tr2bl w:val="nil"/>
                  </w:tcBorders>
                  <w:noWrap w:val="0"/>
                  <w:vAlign w:val="center"/>
                </w:tcPr>
                <w:p w14:paraId="2996C1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建档管理</w:t>
                  </w:r>
                </w:p>
              </w:tc>
              <w:tc>
                <w:tcPr>
                  <w:tcW w:w="3503" w:type="pct"/>
                  <w:tcBorders>
                    <w:tl2br w:val="nil"/>
                    <w:tr2bl w:val="nil"/>
                  </w:tcBorders>
                  <w:noWrap w:val="0"/>
                  <w:vAlign w:val="center"/>
                </w:tcPr>
                <w:p w14:paraId="7802CC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1、使用《中华人民共和国规范化排污口标志登记证》，并按要求填写有关内容；</w:t>
                  </w:r>
                </w:p>
                <w:p w14:paraId="6123D3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2、严格按照环境管理监控计划及排污口管理内容要求，在工程建成后将主要污染物种类、数量、排放浓度与去向，立标及环保设施运行情况记录在案，并及时上报</w:t>
                  </w:r>
                </w:p>
                <w:p w14:paraId="648F85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3、选派有专业技能环保人员对排污口进行管理，做到责任明确、奖罚分明。</w:t>
                  </w:r>
                </w:p>
              </w:tc>
            </w:tr>
          </w:tbl>
          <w:p w14:paraId="61181D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14:textFill>
                  <w14:solidFill>
                    <w14:schemeClr w14:val="tx1"/>
                  </w14:solidFill>
                </w14:textFill>
              </w:rPr>
            </w:pPr>
          </w:p>
          <w:p w14:paraId="083196CC">
            <w:pPr>
              <w:pStyle w:val="14"/>
              <w:rPr>
                <w:rFonts w:hint="default" w:ascii="Times New Roman" w:hAnsi="Times New Roman" w:cs="Times New Roman"/>
                <w:color w:val="000000" w:themeColor="text1"/>
                <w14:textFill>
                  <w14:solidFill>
                    <w14:schemeClr w14:val="tx1"/>
                  </w14:solidFill>
                </w14:textFill>
              </w:rPr>
            </w:pPr>
          </w:p>
          <w:p w14:paraId="04066963">
            <w:pPr>
              <w:rPr>
                <w:rFonts w:hint="default" w:ascii="Times New Roman" w:hAnsi="Times New Roman" w:cs="Times New Roman"/>
                <w:color w:val="000000" w:themeColor="text1"/>
                <w14:textFill>
                  <w14:solidFill>
                    <w14:schemeClr w14:val="tx1"/>
                  </w14:solidFill>
                </w14:textFill>
              </w:rPr>
            </w:pPr>
          </w:p>
          <w:p w14:paraId="654CE5A2">
            <w:pPr>
              <w:pStyle w:val="18"/>
              <w:rPr>
                <w:rFonts w:hint="default" w:ascii="Times New Roman" w:hAnsi="Times New Roman" w:cs="Times New Roman"/>
                <w:color w:val="000000" w:themeColor="text1"/>
                <w14:textFill>
                  <w14:solidFill>
                    <w14:schemeClr w14:val="tx1"/>
                  </w14:solidFill>
                </w14:textFill>
              </w:rPr>
            </w:pPr>
          </w:p>
          <w:p w14:paraId="03F80D58">
            <w:pPr>
              <w:rPr>
                <w:rFonts w:hint="default" w:ascii="Times New Roman" w:hAnsi="Times New Roman" w:cs="Times New Roman"/>
                <w:color w:val="000000" w:themeColor="text1"/>
                <w14:textFill>
                  <w14:solidFill>
                    <w14:schemeClr w14:val="tx1"/>
                  </w14:solidFill>
                </w14:textFill>
              </w:rPr>
            </w:pPr>
          </w:p>
          <w:p w14:paraId="07A966DE">
            <w:pPr>
              <w:pStyle w:val="18"/>
              <w:rPr>
                <w:rFonts w:hint="default" w:ascii="Times New Roman" w:hAnsi="Times New Roman" w:cs="Times New Roman"/>
                <w:color w:val="000000" w:themeColor="text1"/>
                <w14:textFill>
                  <w14:solidFill>
                    <w14:schemeClr w14:val="tx1"/>
                  </w14:solidFill>
                </w14:textFill>
              </w:rPr>
            </w:pPr>
          </w:p>
          <w:p w14:paraId="482173D0">
            <w:pPr>
              <w:rPr>
                <w:rFonts w:hint="default" w:ascii="Times New Roman" w:hAnsi="Times New Roman" w:cs="Times New Roman"/>
                <w:color w:val="000000" w:themeColor="text1"/>
                <w14:textFill>
                  <w14:solidFill>
                    <w14:schemeClr w14:val="tx1"/>
                  </w14:solidFill>
                </w14:textFill>
              </w:rPr>
            </w:pPr>
          </w:p>
          <w:p w14:paraId="209E47C4">
            <w:pPr>
              <w:pStyle w:val="18"/>
              <w:rPr>
                <w:rFonts w:hint="default" w:ascii="Times New Roman" w:hAnsi="Times New Roman" w:cs="Times New Roman"/>
                <w:color w:val="000000" w:themeColor="text1"/>
                <w14:textFill>
                  <w14:solidFill>
                    <w14:schemeClr w14:val="tx1"/>
                  </w14:solidFill>
                </w14:textFill>
              </w:rPr>
            </w:pPr>
          </w:p>
          <w:p w14:paraId="09073667">
            <w:pPr>
              <w:rPr>
                <w:rFonts w:hint="default" w:ascii="Times New Roman" w:hAnsi="Times New Roman" w:cs="Times New Roman"/>
                <w:color w:val="000000" w:themeColor="text1"/>
                <w14:textFill>
                  <w14:solidFill>
                    <w14:schemeClr w14:val="tx1"/>
                  </w14:solidFill>
                </w14:textFill>
              </w:rPr>
            </w:pPr>
          </w:p>
          <w:p w14:paraId="0C1F6B3E">
            <w:pPr>
              <w:pStyle w:val="18"/>
              <w:rPr>
                <w:rFonts w:hint="default" w:ascii="Times New Roman" w:hAnsi="Times New Roman" w:cs="Times New Roman"/>
                <w:color w:val="000000" w:themeColor="text1"/>
                <w14:textFill>
                  <w14:solidFill>
                    <w14:schemeClr w14:val="tx1"/>
                  </w14:solidFill>
                </w14:textFill>
              </w:rPr>
            </w:pPr>
          </w:p>
          <w:p w14:paraId="4E8C48C0">
            <w:pPr>
              <w:rPr>
                <w:rFonts w:hint="default" w:ascii="Times New Roman" w:hAnsi="Times New Roman" w:cs="Times New Roman"/>
                <w:color w:val="000000" w:themeColor="text1"/>
                <w14:textFill>
                  <w14:solidFill>
                    <w14:schemeClr w14:val="tx1"/>
                  </w14:solidFill>
                </w14:textFill>
              </w:rPr>
            </w:pPr>
          </w:p>
          <w:p w14:paraId="5583969E">
            <w:pPr>
              <w:pStyle w:val="18"/>
              <w:rPr>
                <w:rFonts w:hint="default" w:ascii="Times New Roman" w:hAnsi="Times New Roman" w:cs="Times New Roman"/>
                <w:color w:val="000000" w:themeColor="text1"/>
                <w14:textFill>
                  <w14:solidFill>
                    <w14:schemeClr w14:val="tx1"/>
                  </w14:solidFill>
                </w14:textFill>
              </w:rPr>
            </w:pPr>
          </w:p>
          <w:p w14:paraId="729601AE">
            <w:pPr>
              <w:rPr>
                <w:rFonts w:hint="default" w:ascii="Times New Roman" w:hAnsi="Times New Roman" w:cs="Times New Roman"/>
                <w:color w:val="000000" w:themeColor="text1"/>
                <w14:textFill>
                  <w14:solidFill>
                    <w14:schemeClr w14:val="tx1"/>
                  </w14:solidFill>
                </w14:textFill>
              </w:rPr>
            </w:pPr>
          </w:p>
          <w:p w14:paraId="74F35F0D">
            <w:pPr>
              <w:pStyle w:val="18"/>
              <w:rPr>
                <w:rFonts w:hint="default" w:ascii="Times New Roman" w:hAnsi="Times New Roman" w:cs="Times New Roman"/>
                <w:color w:val="000000" w:themeColor="text1"/>
                <w14:textFill>
                  <w14:solidFill>
                    <w14:schemeClr w14:val="tx1"/>
                  </w14:solidFill>
                </w14:textFill>
              </w:rPr>
            </w:pPr>
          </w:p>
          <w:p w14:paraId="5C4C7B0D">
            <w:pPr>
              <w:rPr>
                <w:rFonts w:hint="default" w:ascii="Times New Roman" w:hAnsi="Times New Roman" w:cs="Times New Roman"/>
                <w:color w:val="000000" w:themeColor="text1"/>
                <w14:textFill>
                  <w14:solidFill>
                    <w14:schemeClr w14:val="tx1"/>
                  </w14:solidFill>
                </w14:textFill>
              </w:rPr>
            </w:pPr>
          </w:p>
          <w:p w14:paraId="28FE75E9">
            <w:pPr>
              <w:pStyle w:val="18"/>
              <w:rPr>
                <w:rFonts w:hint="default" w:ascii="Times New Roman" w:hAnsi="Times New Roman" w:cs="Times New Roman"/>
                <w:color w:val="000000" w:themeColor="text1"/>
                <w14:textFill>
                  <w14:solidFill>
                    <w14:schemeClr w14:val="tx1"/>
                  </w14:solidFill>
                </w14:textFill>
              </w:rPr>
            </w:pPr>
          </w:p>
          <w:p w14:paraId="16ACBBB2">
            <w:pPr>
              <w:rPr>
                <w:rFonts w:hint="default" w:ascii="Times New Roman" w:hAnsi="Times New Roman" w:cs="Times New Roman"/>
                <w:color w:val="000000" w:themeColor="text1"/>
                <w14:textFill>
                  <w14:solidFill>
                    <w14:schemeClr w14:val="tx1"/>
                  </w14:solidFill>
                </w14:textFill>
              </w:rPr>
            </w:pPr>
          </w:p>
          <w:p w14:paraId="797D4919">
            <w:pPr>
              <w:pStyle w:val="18"/>
              <w:rPr>
                <w:rFonts w:hint="default"/>
                <w:color w:val="000000" w:themeColor="text1"/>
                <w14:textFill>
                  <w14:solidFill>
                    <w14:schemeClr w14:val="tx1"/>
                  </w14:solidFill>
                </w14:textFill>
              </w:rPr>
            </w:pPr>
          </w:p>
          <w:p w14:paraId="1BC4B6BC">
            <w:pPr>
              <w:pStyle w:val="14"/>
              <w:rPr>
                <w:rFonts w:hint="default" w:ascii="Times New Roman" w:hAnsi="Times New Roman" w:cs="Times New Roman"/>
                <w:color w:val="000000" w:themeColor="text1"/>
                <w14:textFill>
                  <w14:solidFill>
                    <w14:schemeClr w14:val="tx1"/>
                  </w14:solidFill>
                </w14:textFill>
              </w:rPr>
            </w:pPr>
          </w:p>
          <w:p w14:paraId="29CB2AE9">
            <w:pPr>
              <w:rPr>
                <w:rFonts w:hint="default" w:ascii="Times New Roman" w:hAnsi="Times New Roman" w:cs="Times New Roman"/>
                <w:color w:val="000000" w:themeColor="text1"/>
                <w14:textFill>
                  <w14:solidFill>
                    <w14:schemeClr w14:val="tx1"/>
                  </w14:solidFill>
                </w14:textFill>
              </w:rPr>
            </w:pPr>
          </w:p>
          <w:p w14:paraId="33BE3F02">
            <w:pPr>
              <w:rPr>
                <w:rFonts w:hint="default" w:ascii="Times New Roman" w:hAnsi="Times New Roman" w:cs="Times New Roman"/>
                <w:color w:val="000000" w:themeColor="text1"/>
                <w14:textFill>
                  <w14:solidFill>
                    <w14:schemeClr w14:val="tx1"/>
                  </w14:solidFill>
                </w14:textFill>
              </w:rPr>
            </w:pPr>
          </w:p>
          <w:p w14:paraId="78221A98">
            <w:pPr>
              <w:rPr>
                <w:rFonts w:hint="default" w:ascii="Times New Roman" w:hAnsi="Times New Roman" w:cs="Times New Roman"/>
                <w:color w:val="000000" w:themeColor="text1"/>
                <w14:textFill>
                  <w14:solidFill>
                    <w14:schemeClr w14:val="tx1"/>
                  </w14:solidFill>
                </w14:textFill>
              </w:rPr>
            </w:pPr>
          </w:p>
          <w:p w14:paraId="4DF51BA7">
            <w:pPr>
              <w:pStyle w:val="14"/>
              <w:rPr>
                <w:rFonts w:hint="default" w:ascii="Times New Roman" w:hAnsi="Times New Roman" w:cs="Times New Roman"/>
                <w:color w:val="000000" w:themeColor="text1"/>
                <w14:textFill>
                  <w14:solidFill>
                    <w14:schemeClr w14:val="tx1"/>
                  </w14:solidFill>
                </w14:textFill>
              </w:rPr>
            </w:pPr>
          </w:p>
        </w:tc>
      </w:tr>
    </w:tbl>
    <w:p w14:paraId="7C702635">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90CC385">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六、结论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86E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7" w:hRule="atLeast"/>
        </w:trPr>
        <w:tc>
          <w:tcPr>
            <w:tcW w:w="9060" w:type="dxa"/>
            <w:noWrap w:val="0"/>
            <w:vAlign w:val="top"/>
          </w:tcPr>
          <w:p w14:paraId="38286E87">
            <w:pPr>
              <w:widowControl/>
              <w:adjustRightInd w:val="0"/>
              <w:spacing w:line="360" w:lineRule="auto"/>
              <w:ind w:firstLine="480" w:firstLineChars="200"/>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从环境影响的角度分析，项目建设环境影响是可行的。</w:t>
            </w:r>
          </w:p>
          <w:p w14:paraId="3C2BFD56">
            <w:pPr>
              <w:widowControl/>
              <w:adjustRightInd w:val="0"/>
              <w:spacing w:line="360" w:lineRule="auto"/>
              <w:ind w:firstLine="420" w:firstLineChars="200"/>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29FDB251">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6CB58A9A">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6C0431C0">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7108E422">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63CDE8A6">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6BBC6C92">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637A5175">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32F3A53">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ACE674B">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0DEC9408">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FDB7D2B">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4B4079E3">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05F32119">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23414B76">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03B48B3">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7ABB6D1">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87530B6">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69FDB95F">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E3CDED4">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A982B36">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2A430660">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496FFE0A">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325256F1">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426CB42E">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1EB0E08">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0E7A0D72">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2F01FE5F">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B5D3010">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F05AEB7">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0A54F4AB">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56F7302E">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22A2709">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E5CE0DA">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0DA8AA83">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4407D444">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4104352B">
            <w:pP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1B89E0C5">
            <w:pPr>
              <w:pStyle w:val="14"/>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14:paraId="3AA9B1F9">
            <w:pPr>
              <w:pStyle w:val="20"/>
              <w:jc w:val="both"/>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p>
        </w:tc>
      </w:tr>
    </w:tbl>
    <w:p w14:paraId="1C1A8692">
      <w:pPr>
        <w:pStyle w:val="20"/>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6694B9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000000" w:themeColor="text1"/>
          <w:sz w:val="38"/>
          <w:szCs w:val="38"/>
          <w14:textFill>
            <w14:solidFill>
              <w14:schemeClr w14:val="tx1"/>
            </w14:solidFill>
          </w14:textFill>
        </w:rPr>
      </w:pPr>
      <w:r>
        <w:rPr>
          <w:rFonts w:hint="default" w:ascii="Times New Roman" w:hAnsi="Times New Roman" w:eastAsia="宋体" w:cs="Times New Roman"/>
          <w:snapToGrid w:val="0"/>
          <w:color w:val="000000" w:themeColor="text1"/>
          <w:sz w:val="38"/>
          <w:szCs w:val="38"/>
          <w14:textFill>
            <w14:solidFill>
              <w14:schemeClr w14:val="tx1"/>
            </w14:solidFill>
          </w14:textFill>
        </w:rPr>
        <w:t>建设项目污染物排放量汇总表</w:t>
      </w:r>
    </w:p>
    <w:tbl>
      <w:tblPr>
        <w:tblStyle w:val="22"/>
        <w:tblW w:w="150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2812"/>
        <w:gridCol w:w="1688"/>
        <w:gridCol w:w="1266"/>
        <w:gridCol w:w="1688"/>
        <w:gridCol w:w="1547"/>
        <w:gridCol w:w="1359"/>
        <w:gridCol w:w="1418"/>
        <w:gridCol w:w="1733"/>
      </w:tblGrid>
      <w:tr w14:paraId="6949F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tcBorders>
              <w:tl2br w:val="single" w:color="auto" w:sz="4" w:space="0"/>
            </w:tcBorders>
            <w:noWrap w:val="0"/>
            <w:tcMar>
              <w:left w:w="28" w:type="dxa"/>
              <w:right w:w="28" w:type="dxa"/>
            </w:tcMar>
            <w:vAlign w:val="center"/>
          </w:tcPr>
          <w:p w14:paraId="61120587">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jc w:val="right"/>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项目</w:t>
            </w:r>
          </w:p>
          <w:p w14:paraId="4617B7F7">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jc w:val="left"/>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分类</w:t>
            </w:r>
          </w:p>
        </w:tc>
        <w:tc>
          <w:tcPr>
            <w:tcW w:w="2812" w:type="dxa"/>
            <w:noWrap w:val="0"/>
            <w:vAlign w:val="center"/>
          </w:tcPr>
          <w:p w14:paraId="0AF852C5">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污染物名称</w:t>
            </w:r>
          </w:p>
        </w:tc>
        <w:tc>
          <w:tcPr>
            <w:tcW w:w="1688" w:type="dxa"/>
            <w:noWrap w:val="0"/>
            <w:tcMar>
              <w:left w:w="28" w:type="dxa"/>
              <w:right w:w="28" w:type="dxa"/>
            </w:tcMar>
            <w:vAlign w:val="center"/>
          </w:tcPr>
          <w:p w14:paraId="23E61FA7">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w:t>
            </w:r>
          </w:p>
          <w:p w14:paraId="7507508C">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66" w:type="dxa"/>
            <w:noWrap w:val="0"/>
            <w:tcMar>
              <w:left w:w="28" w:type="dxa"/>
              <w:right w:w="28" w:type="dxa"/>
            </w:tcMar>
            <w:vAlign w:val="center"/>
          </w:tcPr>
          <w:p w14:paraId="4A94C87A">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w:t>
            </w:r>
          </w:p>
          <w:p w14:paraId="1D326F71">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许可排放量</w:t>
            </w:r>
          </w:p>
          <w:p w14:paraId="19C0ED51">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688" w:type="dxa"/>
            <w:noWrap w:val="0"/>
            <w:tcMar>
              <w:left w:w="28" w:type="dxa"/>
              <w:right w:w="28" w:type="dxa"/>
            </w:tcMar>
            <w:vAlign w:val="center"/>
          </w:tcPr>
          <w:p w14:paraId="49CA4061">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在建工程</w:t>
            </w:r>
          </w:p>
          <w:p w14:paraId="2DAA9627">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547" w:type="dxa"/>
            <w:noWrap w:val="0"/>
            <w:tcMar>
              <w:left w:w="28" w:type="dxa"/>
              <w:right w:w="28" w:type="dxa"/>
            </w:tcMar>
            <w:vAlign w:val="center"/>
          </w:tcPr>
          <w:p w14:paraId="6F008403">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本项目</w:t>
            </w:r>
          </w:p>
          <w:p w14:paraId="5D4DBC17">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359" w:type="dxa"/>
            <w:noWrap w:val="0"/>
            <w:tcMar>
              <w:left w:w="28" w:type="dxa"/>
              <w:right w:w="28" w:type="dxa"/>
            </w:tcMar>
            <w:vAlign w:val="center"/>
          </w:tcPr>
          <w:p w14:paraId="535E6F8E">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以新带老削减量</w:t>
            </w:r>
          </w:p>
          <w:p w14:paraId="7A495E1C">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418" w:type="dxa"/>
            <w:noWrap w:val="0"/>
            <w:tcMar>
              <w:left w:w="28" w:type="dxa"/>
              <w:right w:w="28" w:type="dxa"/>
            </w:tcMar>
            <w:vAlign w:val="center"/>
          </w:tcPr>
          <w:p w14:paraId="1C11DEF0">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本项目建成后</w:t>
            </w:r>
          </w:p>
          <w:p w14:paraId="734ACC14">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733" w:type="dxa"/>
            <w:noWrap w:val="0"/>
            <w:tcMar>
              <w:left w:w="28" w:type="dxa"/>
              <w:right w:w="28" w:type="dxa"/>
            </w:tcMar>
            <w:vAlign w:val="center"/>
          </w:tcPr>
          <w:p w14:paraId="296780E2">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变化量</w:t>
            </w:r>
          </w:p>
          <w:p w14:paraId="1AA78682">
            <w:pPr>
              <w:pStyle w:val="41"/>
              <w:keepNext w:val="0"/>
              <w:keepLines w:val="0"/>
              <w:pageBreakBefore w:val="0"/>
              <w:widowControl w:val="0"/>
              <w:kinsoku/>
              <w:wordWrap/>
              <w:overflowPunct/>
              <w:topLinePunct w:val="0"/>
              <w:autoSpaceDE/>
              <w:autoSpaceDN/>
              <w:bidi w:val="0"/>
              <w:adjustRightInd/>
              <w:snapToGrid/>
              <w:spacing w:before="0" w:beforeLines="0" w:beforeAutospacing="0" w:afterLines="0" w:line="240" w:lineRule="auto"/>
              <w:textAlignment w:val="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r>
      <w:tr w14:paraId="05953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noWrap w:val="0"/>
            <w:vAlign w:val="center"/>
          </w:tcPr>
          <w:p w14:paraId="4074EEC7">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废气</w:t>
            </w:r>
          </w:p>
        </w:tc>
        <w:tc>
          <w:tcPr>
            <w:tcW w:w="2812" w:type="dxa"/>
            <w:noWrap w:val="0"/>
            <w:vAlign w:val="center"/>
          </w:tcPr>
          <w:p w14:paraId="36185E1B">
            <w:pPr>
              <w:pStyle w:val="41"/>
              <w:spacing w:beforeLines="0" w:afterLines="0" w:line="240" w:lineRule="auto"/>
              <w:rPr>
                <w:rFonts w:hint="eastAsia" w:ascii="宋体" w:hAnsi="宋体" w:eastAsia="宋体" w:cs="宋体"/>
                <w:snapToGrid w:val="0"/>
                <w:color w:val="000000" w:themeColor="text1"/>
                <w:kern w:val="21"/>
                <w:sz w:val="24"/>
                <w:szCs w:val="21"/>
                <w:lang w:val="en-US" w:eastAsia="zh-CN" w:bidi="ar-SA"/>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颗粒物</w:t>
            </w:r>
          </w:p>
        </w:tc>
        <w:tc>
          <w:tcPr>
            <w:tcW w:w="1688" w:type="dxa"/>
            <w:noWrap w:val="0"/>
            <w:vAlign w:val="center"/>
          </w:tcPr>
          <w:p w14:paraId="2FEDD05A">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19A4CB9B">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88" w:type="dxa"/>
            <w:noWrap w:val="0"/>
            <w:vAlign w:val="center"/>
          </w:tcPr>
          <w:p w14:paraId="6B9A3656">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47" w:type="dxa"/>
            <w:noWrap w:val="0"/>
            <w:vAlign w:val="center"/>
          </w:tcPr>
          <w:p w14:paraId="735A0080">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0.147</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359" w:type="dxa"/>
            <w:noWrap w:val="0"/>
            <w:vAlign w:val="center"/>
          </w:tcPr>
          <w:p w14:paraId="2C6B37DF">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7349080A">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0.147</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33" w:type="dxa"/>
            <w:noWrap w:val="0"/>
            <w:vAlign w:val="center"/>
          </w:tcPr>
          <w:p w14:paraId="3C3A9A99">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+0.147</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14:paraId="66F22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6C3AFAE6">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56247B27">
            <w:pPr>
              <w:pStyle w:val="41"/>
              <w:spacing w:beforeLines="0" w:afterLines="0" w:line="240" w:lineRule="auto"/>
              <w:rPr>
                <w:rFonts w:hint="default"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氨</w:t>
            </w:r>
          </w:p>
        </w:tc>
        <w:tc>
          <w:tcPr>
            <w:tcW w:w="1688" w:type="dxa"/>
            <w:noWrap w:val="0"/>
            <w:vAlign w:val="center"/>
          </w:tcPr>
          <w:p w14:paraId="325EFAAB">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2BF78E63">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88" w:type="dxa"/>
            <w:noWrap w:val="0"/>
            <w:vAlign w:val="center"/>
          </w:tcPr>
          <w:p w14:paraId="26EA5231">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47" w:type="dxa"/>
            <w:noWrap w:val="0"/>
            <w:vAlign w:val="center"/>
          </w:tcPr>
          <w:p w14:paraId="35AFF641">
            <w:pPr>
              <w:pStyle w:val="41"/>
              <w:spacing w:beforeLines="0" w:afterLines="0" w:line="240" w:lineRule="auto"/>
              <w:rPr>
                <w:rFonts w:hint="eastAsia"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1.785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359" w:type="dxa"/>
            <w:noWrap w:val="0"/>
            <w:vAlign w:val="center"/>
          </w:tcPr>
          <w:p w14:paraId="25FA2B2A">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49A7F373">
            <w:pPr>
              <w:pStyle w:val="41"/>
              <w:spacing w:beforeLines="0" w:afterLines="0" w:line="240" w:lineRule="auto"/>
              <w:rPr>
                <w:rFonts w:hint="eastAsia"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1.785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33" w:type="dxa"/>
            <w:noWrap w:val="0"/>
            <w:vAlign w:val="center"/>
          </w:tcPr>
          <w:p w14:paraId="2217E2CC">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+1.785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14:paraId="24343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2003A3F8">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1E1AA0CF">
            <w:pPr>
              <w:pStyle w:val="41"/>
              <w:spacing w:beforeLines="0" w:afterLines="0" w:line="240" w:lineRule="auto"/>
              <w:rPr>
                <w:rFonts w:hint="default"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硫化氢</w:t>
            </w:r>
          </w:p>
        </w:tc>
        <w:tc>
          <w:tcPr>
            <w:tcW w:w="1688" w:type="dxa"/>
            <w:noWrap w:val="0"/>
            <w:vAlign w:val="center"/>
          </w:tcPr>
          <w:p w14:paraId="0299551E">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77FEE9A5">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688" w:type="dxa"/>
            <w:noWrap w:val="0"/>
            <w:vAlign w:val="center"/>
          </w:tcPr>
          <w:p w14:paraId="271E5BCF">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547" w:type="dxa"/>
            <w:noWrap w:val="0"/>
            <w:vAlign w:val="center"/>
          </w:tcPr>
          <w:p w14:paraId="0011F160">
            <w:pPr>
              <w:pStyle w:val="41"/>
              <w:spacing w:beforeLines="0" w:afterLines="0" w:line="240" w:lineRule="auto"/>
              <w:rPr>
                <w:rFonts w:hint="eastAsia"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0.714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359" w:type="dxa"/>
            <w:noWrap w:val="0"/>
            <w:vAlign w:val="center"/>
          </w:tcPr>
          <w:p w14:paraId="62323B61">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74AE93C0">
            <w:pPr>
              <w:pStyle w:val="41"/>
              <w:spacing w:beforeLines="0" w:afterLines="0" w:line="240" w:lineRule="auto"/>
              <w:rPr>
                <w:rFonts w:hint="eastAsia"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0.714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33" w:type="dxa"/>
            <w:noWrap w:val="0"/>
            <w:vAlign w:val="center"/>
          </w:tcPr>
          <w:p w14:paraId="1CF6AD87">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+0.714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14:paraId="38E33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5376FF9A">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775F455B">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二氧化硫</w:t>
            </w:r>
          </w:p>
        </w:tc>
        <w:tc>
          <w:tcPr>
            <w:tcW w:w="1688" w:type="dxa"/>
            <w:noWrap w:val="0"/>
            <w:vAlign w:val="center"/>
          </w:tcPr>
          <w:p w14:paraId="51357D47">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266" w:type="dxa"/>
            <w:noWrap w:val="0"/>
            <w:vAlign w:val="center"/>
          </w:tcPr>
          <w:p w14:paraId="37D94D15">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688" w:type="dxa"/>
            <w:noWrap w:val="0"/>
            <w:vAlign w:val="center"/>
          </w:tcPr>
          <w:p w14:paraId="32CCAF04">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547" w:type="dxa"/>
            <w:noWrap w:val="0"/>
            <w:vAlign w:val="center"/>
          </w:tcPr>
          <w:p w14:paraId="1606AF7A">
            <w:pPr>
              <w:pStyle w:val="41"/>
              <w:spacing w:beforeLines="0" w:afterLines="0" w:line="240" w:lineRule="auto"/>
              <w:rPr>
                <w:rFonts w:hint="default"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0.004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359" w:type="dxa"/>
            <w:noWrap w:val="0"/>
            <w:vAlign w:val="center"/>
          </w:tcPr>
          <w:p w14:paraId="75ACCC8D">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418" w:type="dxa"/>
            <w:noWrap w:val="0"/>
            <w:vAlign w:val="center"/>
          </w:tcPr>
          <w:p w14:paraId="7E77F2FE">
            <w:pPr>
              <w:pStyle w:val="41"/>
              <w:spacing w:beforeLines="0" w:afterLines="0" w:line="240" w:lineRule="auto"/>
              <w:rPr>
                <w:rFonts w:hint="eastAsia"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0.004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33" w:type="dxa"/>
            <w:noWrap w:val="0"/>
            <w:vAlign w:val="center"/>
          </w:tcPr>
          <w:p w14:paraId="27E69E32">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+0.004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14:paraId="16E69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217C885D">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0F28A9D6">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氮氧化物</w:t>
            </w:r>
          </w:p>
        </w:tc>
        <w:tc>
          <w:tcPr>
            <w:tcW w:w="1688" w:type="dxa"/>
            <w:noWrap w:val="0"/>
            <w:vAlign w:val="center"/>
          </w:tcPr>
          <w:p w14:paraId="30C2F10B">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266" w:type="dxa"/>
            <w:noWrap w:val="0"/>
            <w:vAlign w:val="center"/>
          </w:tcPr>
          <w:p w14:paraId="470FF1EC">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688" w:type="dxa"/>
            <w:noWrap w:val="0"/>
            <w:vAlign w:val="center"/>
          </w:tcPr>
          <w:p w14:paraId="3F72F0EB">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547" w:type="dxa"/>
            <w:noWrap w:val="0"/>
            <w:vAlign w:val="center"/>
          </w:tcPr>
          <w:p w14:paraId="614678A9">
            <w:pPr>
              <w:pStyle w:val="41"/>
              <w:spacing w:beforeLines="0" w:afterLines="0" w:line="240" w:lineRule="auto"/>
              <w:rPr>
                <w:rFonts w:hint="default"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0.011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359" w:type="dxa"/>
            <w:noWrap w:val="0"/>
            <w:vAlign w:val="center"/>
          </w:tcPr>
          <w:p w14:paraId="3DA90BB2">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418" w:type="dxa"/>
            <w:noWrap w:val="0"/>
            <w:vAlign w:val="center"/>
          </w:tcPr>
          <w:p w14:paraId="63B5B6FB">
            <w:pPr>
              <w:pStyle w:val="41"/>
              <w:spacing w:beforeLines="0" w:afterLines="0" w:line="240" w:lineRule="auto"/>
              <w:rPr>
                <w:rFonts w:hint="eastAsia"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0.011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33" w:type="dxa"/>
            <w:noWrap w:val="0"/>
            <w:vAlign w:val="center"/>
          </w:tcPr>
          <w:p w14:paraId="0B7BB339">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+0.011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14:paraId="068A5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51744495">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1212FE21">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甲醇</w:t>
            </w:r>
          </w:p>
        </w:tc>
        <w:tc>
          <w:tcPr>
            <w:tcW w:w="1688" w:type="dxa"/>
            <w:noWrap w:val="0"/>
            <w:vAlign w:val="center"/>
          </w:tcPr>
          <w:p w14:paraId="0DCD01EF">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266" w:type="dxa"/>
            <w:noWrap w:val="0"/>
            <w:vAlign w:val="center"/>
          </w:tcPr>
          <w:p w14:paraId="791F2C85">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688" w:type="dxa"/>
            <w:noWrap w:val="0"/>
            <w:vAlign w:val="center"/>
          </w:tcPr>
          <w:p w14:paraId="3EDD01C1">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547" w:type="dxa"/>
            <w:noWrap w:val="0"/>
            <w:vAlign w:val="center"/>
          </w:tcPr>
          <w:p w14:paraId="0F844F96">
            <w:pPr>
              <w:pStyle w:val="41"/>
              <w:spacing w:beforeLines="0" w:afterLines="0" w:line="240" w:lineRule="auto"/>
              <w:rPr>
                <w:rFonts w:hint="default"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0.021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359" w:type="dxa"/>
            <w:noWrap w:val="0"/>
            <w:vAlign w:val="center"/>
          </w:tcPr>
          <w:p w14:paraId="1EF548A2">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418" w:type="dxa"/>
            <w:noWrap w:val="0"/>
            <w:vAlign w:val="center"/>
          </w:tcPr>
          <w:p w14:paraId="4D99FED2">
            <w:pPr>
              <w:pStyle w:val="41"/>
              <w:spacing w:beforeLines="0" w:afterLines="0" w:line="240" w:lineRule="auto"/>
              <w:rPr>
                <w:rFonts w:hint="eastAsia"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0.021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33" w:type="dxa"/>
            <w:noWrap w:val="0"/>
            <w:vAlign w:val="center"/>
          </w:tcPr>
          <w:p w14:paraId="0218688A">
            <w:pPr>
              <w:pStyle w:val="41"/>
              <w:spacing w:beforeLines="0" w:afterLines="0" w:line="240" w:lineRule="auto"/>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+0.021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14:paraId="6DB83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noWrap w:val="0"/>
            <w:vAlign w:val="center"/>
          </w:tcPr>
          <w:p w14:paraId="69B6CEC5">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废水</w:t>
            </w:r>
          </w:p>
        </w:tc>
        <w:tc>
          <w:tcPr>
            <w:tcW w:w="2812" w:type="dxa"/>
            <w:noWrap w:val="0"/>
            <w:vAlign w:val="center"/>
          </w:tcPr>
          <w:p w14:paraId="731D887A">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COD</w:t>
            </w:r>
          </w:p>
        </w:tc>
        <w:tc>
          <w:tcPr>
            <w:tcW w:w="1688" w:type="dxa"/>
            <w:noWrap w:val="0"/>
            <w:vAlign w:val="center"/>
          </w:tcPr>
          <w:p w14:paraId="63011C55">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1475D3C8">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48D78B26">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00AB9447">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359" w:type="dxa"/>
            <w:noWrap w:val="0"/>
            <w:vAlign w:val="center"/>
          </w:tcPr>
          <w:p w14:paraId="1A547399">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18" w:type="dxa"/>
            <w:noWrap w:val="0"/>
            <w:vAlign w:val="center"/>
          </w:tcPr>
          <w:p w14:paraId="0BC466EA">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733" w:type="dxa"/>
            <w:noWrap w:val="0"/>
            <w:vAlign w:val="center"/>
          </w:tcPr>
          <w:p w14:paraId="58D7FE08">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r>
      <w:tr w14:paraId="321AD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1BF93565">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66C1D7A6">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BOD5</w:t>
            </w:r>
          </w:p>
        </w:tc>
        <w:tc>
          <w:tcPr>
            <w:tcW w:w="1688" w:type="dxa"/>
            <w:noWrap w:val="0"/>
            <w:vAlign w:val="center"/>
          </w:tcPr>
          <w:p w14:paraId="1880C1BB">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6FCA9F7F">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1AE39725">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1A8CFEB3">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359" w:type="dxa"/>
            <w:noWrap w:val="0"/>
            <w:vAlign w:val="center"/>
          </w:tcPr>
          <w:p w14:paraId="4A656634">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18" w:type="dxa"/>
            <w:noWrap w:val="0"/>
            <w:vAlign w:val="center"/>
          </w:tcPr>
          <w:p w14:paraId="584F0434">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733" w:type="dxa"/>
            <w:noWrap w:val="0"/>
            <w:vAlign w:val="center"/>
          </w:tcPr>
          <w:p w14:paraId="10288A71">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r>
      <w:tr w14:paraId="7EF38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141B6560">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08410853">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SS</w:t>
            </w:r>
          </w:p>
        </w:tc>
        <w:tc>
          <w:tcPr>
            <w:tcW w:w="1688" w:type="dxa"/>
            <w:noWrap w:val="0"/>
            <w:vAlign w:val="center"/>
          </w:tcPr>
          <w:p w14:paraId="30FF02F7">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2878C74D">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326B2DF5">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4484E0D2">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359" w:type="dxa"/>
            <w:noWrap w:val="0"/>
            <w:vAlign w:val="center"/>
          </w:tcPr>
          <w:p w14:paraId="411CE440">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18" w:type="dxa"/>
            <w:noWrap w:val="0"/>
            <w:vAlign w:val="center"/>
          </w:tcPr>
          <w:p w14:paraId="3CFD7F41">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733" w:type="dxa"/>
            <w:noWrap w:val="0"/>
            <w:vAlign w:val="center"/>
          </w:tcPr>
          <w:p w14:paraId="5B6B8DCA">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r>
      <w:tr w14:paraId="1397D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458B751A">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64739241">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氨氮</w:t>
            </w:r>
          </w:p>
        </w:tc>
        <w:tc>
          <w:tcPr>
            <w:tcW w:w="1688" w:type="dxa"/>
            <w:noWrap w:val="0"/>
            <w:vAlign w:val="center"/>
          </w:tcPr>
          <w:p w14:paraId="1F36B0E4">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38551D19">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4AE156BD">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652FA5F6">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359" w:type="dxa"/>
            <w:noWrap w:val="0"/>
            <w:vAlign w:val="center"/>
          </w:tcPr>
          <w:p w14:paraId="67AEB284">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18" w:type="dxa"/>
            <w:noWrap w:val="0"/>
            <w:vAlign w:val="center"/>
          </w:tcPr>
          <w:p w14:paraId="5EAAA259">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733" w:type="dxa"/>
            <w:noWrap w:val="0"/>
            <w:vAlign w:val="center"/>
          </w:tcPr>
          <w:p w14:paraId="3C16EB2F">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r>
      <w:tr w14:paraId="3A965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4C271C10">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21F67C17">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总磷</w:t>
            </w:r>
          </w:p>
        </w:tc>
        <w:tc>
          <w:tcPr>
            <w:tcW w:w="1688" w:type="dxa"/>
            <w:noWrap w:val="0"/>
            <w:vAlign w:val="center"/>
          </w:tcPr>
          <w:p w14:paraId="4D403DFA">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039B2013">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47100FF6">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18F0B7D8">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359" w:type="dxa"/>
            <w:noWrap w:val="0"/>
            <w:vAlign w:val="center"/>
          </w:tcPr>
          <w:p w14:paraId="11CB9D31">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18" w:type="dxa"/>
            <w:noWrap w:val="0"/>
            <w:vAlign w:val="center"/>
          </w:tcPr>
          <w:p w14:paraId="0112722D">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733" w:type="dxa"/>
            <w:noWrap w:val="0"/>
            <w:vAlign w:val="center"/>
          </w:tcPr>
          <w:p w14:paraId="7A051512">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r>
      <w:tr w14:paraId="1B263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7E4C2CA4">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2812" w:type="dxa"/>
            <w:noWrap w:val="0"/>
            <w:vAlign w:val="center"/>
          </w:tcPr>
          <w:p w14:paraId="6D9CE9A7">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总氮</w:t>
            </w:r>
          </w:p>
        </w:tc>
        <w:tc>
          <w:tcPr>
            <w:tcW w:w="1688" w:type="dxa"/>
            <w:noWrap w:val="0"/>
            <w:vAlign w:val="center"/>
          </w:tcPr>
          <w:p w14:paraId="671731E8">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018C97BE">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478D40E3">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1A9C37C0">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359" w:type="dxa"/>
            <w:noWrap w:val="0"/>
            <w:vAlign w:val="center"/>
          </w:tcPr>
          <w:p w14:paraId="1B946890">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18" w:type="dxa"/>
            <w:noWrap w:val="0"/>
            <w:vAlign w:val="center"/>
          </w:tcPr>
          <w:p w14:paraId="3AEAB39F">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733" w:type="dxa"/>
            <w:noWrap w:val="0"/>
            <w:vAlign w:val="center"/>
          </w:tcPr>
          <w:p w14:paraId="15026418">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r>
      <w:tr w14:paraId="40F81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noWrap w:val="0"/>
            <w:vAlign w:val="center"/>
          </w:tcPr>
          <w:p w14:paraId="38EA399C">
            <w:pPr>
              <w:pStyle w:val="41"/>
              <w:spacing w:beforeLines="0" w:afterLines="0" w:line="240" w:lineRule="auto"/>
              <w:rPr>
                <w:rFonts w:hint="default" w:ascii="宋体" w:hAnsi="宋体" w:eastAsia="宋体" w:cs="宋体"/>
                <w:bCs/>
                <w:color w:val="000000" w:themeColor="text1"/>
                <w:szCs w:val="21"/>
                <w14:textFill>
                  <w14:solidFill>
                    <w14:schemeClr w14:val="tx1"/>
                  </w14:solidFill>
                </w14:textFill>
              </w:rPr>
            </w:pPr>
            <w:r>
              <w:rPr>
                <w:rFonts w:hint="default" w:ascii="宋体" w:hAnsi="宋体" w:eastAsia="宋体" w:cs="宋体"/>
                <w:bCs/>
                <w:color w:val="000000" w:themeColor="text1"/>
                <w:szCs w:val="21"/>
                <w14:textFill>
                  <w14:solidFill>
                    <w14:schemeClr w14:val="tx1"/>
                  </w14:solidFill>
                </w14:textFill>
              </w:rPr>
              <w:t>一般工业固体废物</w:t>
            </w:r>
          </w:p>
        </w:tc>
        <w:tc>
          <w:tcPr>
            <w:tcW w:w="2812" w:type="dxa"/>
            <w:noWrap w:val="0"/>
            <w:vAlign w:val="center"/>
          </w:tcPr>
          <w:p w14:paraId="42844EEF">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收尘灰</w:t>
            </w:r>
          </w:p>
        </w:tc>
        <w:tc>
          <w:tcPr>
            <w:tcW w:w="1688" w:type="dxa"/>
            <w:noWrap w:val="0"/>
            <w:vAlign w:val="center"/>
          </w:tcPr>
          <w:p w14:paraId="29F3599D">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425A8782">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350D0169">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1E2AC131">
            <w:pPr>
              <w:pStyle w:val="41"/>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7.749</w:t>
            </w:r>
            <w:r>
              <w:rPr>
                <w:rFonts w:hint="default" w:ascii="Times New Roman" w:hAnsi="Times New Roman" w:eastAsia="宋体" w:cs="Times New Roman"/>
                <w:color w:val="000000" w:themeColor="text1"/>
                <w:szCs w:val="21"/>
                <w14:textFill>
                  <w14:solidFill>
                    <w14:schemeClr w14:val="tx1"/>
                  </w14:solidFill>
                </w14:textFill>
              </w:rPr>
              <w:t>t/a</w:t>
            </w:r>
          </w:p>
        </w:tc>
        <w:tc>
          <w:tcPr>
            <w:tcW w:w="1359" w:type="dxa"/>
            <w:noWrap w:val="0"/>
            <w:vAlign w:val="center"/>
          </w:tcPr>
          <w:p w14:paraId="2338E38E">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7337C2AF">
            <w:pPr>
              <w:pStyle w:val="41"/>
              <w:spacing w:beforeLines="0" w:afterLines="0" w:line="240" w:lineRule="auto"/>
              <w:rPr>
                <w:rFonts w:hint="default" w:ascii="Times New Roman" w:hAnsi="Times New Roman" w:eastAsia="宋体" w:cs="Times New Roman"/>
                <w:b w:val="0"/>
                <w:bCs w:val="0"/>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7.749</w:t>
            </w:r>
            <w:r>
              <w:rPr>
                <w:rFonts w:hint="default" w:ascii="Times New Roman" w:hAnsi="Times New Roman" w:eastAsia="宋体" w:cs="Times New Roman"/>
                <w:color w:val="000000" w:themeColor="text1"/>
                <w:szCs w:val="21"/>
                <w14:textFill>
                  <w14:solidFill>
                    <w14:schemeClr w14:val="tx1"/>
                  </w14:solidFill>
                </w14:textFill>
              </w:rPr>
              <w:t>t/a</w:t>
            </w:r>
          </w:p>
        </w:tc>
        <w:tc>
          <w:tcPr>
            <w:tcW w:w="1733" w:type="dxa"/>
            <w:noWrap w:val="0"/>
            <w:vAlign w:val="center"/>
          </w:tcPr>
          <w:p w14:paraId="263DB4E5">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+7.749</w:t>
            </w:r>
            <w:r>
              <w:rPr>
                <w:rFonts w:hint="default" w:ascii="Times New Roman" w:hAnsi="Times New Roman" w:eastAsia="宋体" w:cs="Times New Roman"/>
                <w:color w:val="000000" w:themeColor="text1"/>
                <w:szCs w:val="21"/>
                <w14:textFill>
                  <w14:solidFill>
                    <w14:schemeClr w14:val="tx1"/>
                  </w14:solidFill>
                </w14:textFill>
              </w:rPr>
              <w:t>t/a</w:t>
            </w:r>
          </w:p>
        </w:tc>
      </w:tr>
      <w:tr w14:paraId="0C7E0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05D341CA">
            <w:pPr>
              <w:pStyle w:val="41"/>
              <w:spacing w:beforeLines="0" w:afterLines="0" w:line="240" w:lineRule="auto"/>
              <w:rPr>
                <w:rFonts w:hint="default" w:ascii="宋体" w:hAnsi="宋体" w:eastAsia="宋体" w:cs="宋体"/>
                <w:bCs/>
                <w:color w:val="000000" w:themeColor="text1"/>
                <w:szCs w:val="21"/>
                <w14:textFill>
                  <w14:solidFill>
                    <w14:schemeClr w14:val="tx1"/>
                  </w14:solidFill>
                </w14:textFill>
              </w:rPr>
            </w:pPr>
          </w:p>
        </w:tc>
        <w:tc>
          <w:tcPr>
            <w:tcW w:w="2812" w:type="dxa"/>
            <w:noWrap w:val="0"/>
            <w:vAlign w:val="center"/>
          </w:tcPr>
          <w:p w14:paraId="685467CA">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落地灰</w:t>
            </w:r>
          </w:p>
        </w:tc>
        <w:tc>
          <w:tcPr>
            <w:tcW w:w="1688" w:type="dxa"/>
            <w:noWrap w:val="0"/>
            <w:vAlign w:val="center"/>
          </w:tcPr>
          <w:p w14:paraId="4522A15C">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2CEAB812">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688" w:type="dxa"/>
            <w:noWrap w:val="0"/>
            <w:vAlign w:val="center"/>
          </w:tcPr>
          <w:p w14:paraId="28F7002B">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547" w:type="dxa"/>
            <w:noWrap w:val="0"/>
            <w:vAlign w:val="center"/>
          </w:tcPr>
          <w:p w14:paraId="79DE58A5">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0.57</w:t>
            </w:r>
            <w:r>
              <w:rPr>
                <w:rFonts w:hint="default" w:ascii="Times New Roman" w:hAnsi="Times New Roman" w:eastAsia="宋体" w:cs="Times New Roman"/>
                <w:color w:val="000000" w:themeColor="text1"/>
                <w:szCs w:val="21"/>
                <w14:textFill>
                  <w14:solidFill>
                    <w14:schemeClr w14:val="tx1"/>
                  </w14:solidFill>
                </w14:textFill>
              </w:rPr>
              <w:t>t/a</w:t>
            </w:r>
          </w:p>
        </w:tc>
        <w:tc>
          <w:tcPr>
            <w:tcW w:w="1359" w:type="dxa"/>
            <w:noWrap w:val="0"/>
            <w:vAlign w:val="center"/>
          </w:tcPr>
          <w:p w14:paraId="2EE7F3E9">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23763B9D">
            <w:pPr>
              <w:pStyle w:val="41"/>
              <w:spacing w:beforeLines="0" w:afterLines="0" w:line="240" w:lineRule="auto"/>
              <w:rPr>
                <w:rFonts w:hint="default" w:ascii="Times New Roman" w:hAnsi="Times New Roman" w:eastAsia="宋体" w:cs="Times New Roman"/>
                <w:b w:val="0"/>
                <w:bCs w:val="0"/>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0.57</w:t>
            </w:r>
            <w:r>
              <w:rPr>
                <w:rFonts w:hint="default" w:ascii="Times New Roman" w:hAnsi="Times New Roman" w:eastAsia="宋体" w:cs="Times New Roman"/>
                <w:color w:val="000000" w:themeColor="text1"/>
                <w:szCs w:val="21"/>
                <w14:textFill>
                  <w14:solidFill>
                    <w14:schemeClr w14:val="tx1"/>
                  </w14:solidFill>
                </w14:textFill>
              </w:rPr>
              <w:t>t/a</w:t>
            </w:r>
          </w:p>
        </w:tc>
        <w:tc>
          <w:tcPr>
            <w:tcW w:w="1733" w:type="dxa"/>
            <w:noWrap w:val="0"/>
            <w:vAlign w:val="center"/>
          </w:tcPr>
          <w:p w14:paraId="709487FE">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+0.57</w:t>
            </w:r>
            <w:r>
              <w:rPr>
                <w:rFonts w:hint="default" w:ascii="Times New Roman" w:hAnsi="Times New Roman" w:eastAsia="宋体" w:cs="Times New Roman"/>
                <w:color w:val="000000" w:themeColor="text1"/>
                <w:szCs w:val="21"/>
                <w14:textFill>
                  <w14:solidFill>
                    <w14:schemeClr w14:val="tx1"/>
                  </w14:solidFill>
                </w14:textFill>
              </w:rPr>
              <w:t>t/a</w:t>
            </w:r>
          </w:p>
        </w:tc>
      </w:tr>
      <w:tr w14:paraId="22E49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173669C7">
            <w:pPr>
              <w:pStyle w:val="41"/>
              <w:spacing w:beforeLines="0" w:afterLines="0" w:line="240" w:lineRule="auto"/>
              <w:rPr>
                <w:rFonts w:hint="default" w:ascii="宋体" w:hAnsi="宋体" w:eastAsia="宋体" w:cs="宋体"/>
                <w:bCs/>
                <w:color w:val="000000" w:themeColor="text1"/>
                <w:szCs w:val="21"/>
                <w14:textFill>
                  <w14:solidFill>
                    <w14:schemeClr w14:val="tx1"/>
                  </w14:solidFill>
                </w14:textFill>
              </w:rPr>
            </w:pPr>
          </w:p>
        </w:tc>
        <w:tc>
          <w:tcPr>
            <w:tcW w:w="2812" w:type="dxa"/>
            <w:noWrap w:val="0"/>
            <w:vAlign w:val="center"/>
          </w:tcPr>
          <w:p w14:paraId="74C7B440">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废包装袋</w:t>
            </w:r>
          </w:p>
        </w:tc>
        <w:tc>
          <w:tcPr>
            <w:tcW w:w="1688" w:type="dxa"/>
            <w:noWrap w:val="0"/>
            <w:vAlign w:val="center"/>
          </w:tcPr>
          <w:p w14:paraId="10A9778A">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266" w:type="dxa"/>
            <w:noWrap w:val="0"/>
            <w:vAlign w:val="center"/>
          </w:tcPr>
          <w:p w14:paraId="75AD2BD2">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688" w:type="dxa"/>
            <w:noWrap w:val="0"/>
            <w:vAlign w:val="center"/>
          </w:tcPr>
          <w:p w14:paraId="64B97F6D">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547" w:type="dxa"/>
            <w:noWrap w:val="0"/>
            <w:vAlign w:val="center"/>
          </w:tcPr>
          <w:p w14:paraId="2E87A008">
            <w:pPr>
              <w:pStyle w:val="41"/>
              <w:spacing w:beforeLines="0" w:afterLines="0" w:line="240" w:lineRule="auto"/>
              <w:rPr>
                <w:rFonts w:hint="eastAsia"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0.53</w:t>
            </w:r>
            <w:r>
              <w:rPr>
                <w:rFonts w:hint="default" w:ascii="Times New Roman" w:hAnsi="Times New Roman" w:eastAsia="宋体" w:cs="Times New Roman"/>
                <w:b w:val="0"/>
                <w:bCs w:val="0"/>
                <w:color w:val="000000" w:themeColor="text1"/>
                <w:szCs w:val="21"/>
                <w14:textFill>
                  <w14:solidFill>
                    <w14:schemeClr w14:val="tx1"/>
                  </w14:solidFill>
                </w14:textFill>
              </w:rPr>
              <w:t>t/a</w:t>
            </w:r>
          </w:p>
        </w:tc>
        <w:tc>
          <w:tcPr>
            <w:tcW w:w="1359" w:type="dxa"/>
            <w:noWrap w:val="0"/>
            <w:vAlign w:val="center"/>
          </w:tcPr>
          <w:p w14:paraId="2A75A578">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33C1C9DA">
            <w:pPr>
              <w:pStyle w:val="41"/>
              <w:spacing w:beforeLines="0" w:afterLines="0" w:line="240" w:lineRule="auto"/>
              <w:rPr>
                <w:rFonts w:hint="eastAsia" w:ascii="Times New Roman" w:hAnsi="Times New Roman" w:eastAsia="宋体" w:cs="Times New Roman"/>
                <w:b w:val="0"/>
                <w:bCs w:val="0"/>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0.53</w:t>
            </w:r>
            <w:r>
              <w:rPr>
                <w:rFonts w:hint="default" w:ascii="Times New Roman" w:hAnsi="Times New Roman" w:eastAsia="宋体" w:cs="Times New Roman"/>
                <w:b w:val="0"/>
                <w:bCs w:val="0"/>
                <w:color w:val="000000" w:themeColor="text1"/>
                <w:szCs w:val="21"/>
                <w14:textFill>
                  <w14:solidFill>
                    <w14:schemeClr w14:val="tx1"/>
                  </w14:solidFill>
                </w14:textFill>
              </w:rPr>
              <w:t>t/a</w:t>
            </w:r>
          </w:p>
        </w:tc>
        <w:tc>
          <w:tcPr>
            <w:tcW w:w="1733" w:type="dxa"/>
            <w:noWrap w:val="0"/>
            <w:vAlign w:val="center"/>
          </w:tcPr>
          <w:p w14:paraId="53E3329F">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+0.53</w:t>
            </w:r>
            <w:r>
              <w:rPr>
                <w:rFonts w:hint="default" w:ascii="Times New Roman" w:hAnsi="Times New Roman" w:eastAsia="宋体" w:cs="Times New Roman"/>
                <w:b w:val="0"/>
                <w:bCs w:val="0"/>
                <w:color w:val="000000" w:themeColor="text1"/>
                <w:szCs w:val="21"/>
                <w14:textFill>
                  <w14:solidFill>
                    <w14:schemeClr w14:val="tx1"/>
                  </w14:solidFill>
                </w14:textFill>
              </w:rPr>
              <w:t>t/a</w:t>
            </w:r>
          </w:p>
        </w:tc>
      </w:tr>
      <w:tr w14:paraId="32A84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noWrap w:val="0"/>
            <w:vAlign w:val="center"/>
          </w:tcPr>
          <w:p w14:paraId="61FEE6D3">
            <w:pPr>
              <w:pStyle w:val="41"/>
              <w:spacing w:beforeLines="0" w:afterLines="0" w:line="240" w:lineRule="auto"/>
              <w:rPr>
                <w:rFonts w:hint="default" w:ascii="宋体" w:hAnsi="宋体" w:eastAsia="宋体" w:cs="宋体"/>
                <w:bCs/>
                <w:color w:val="000000" w:themeColor="text1"/>
                <w:szCs w:val="21"/>
                <w14:textFill>
                  <w14:solidFill>
                    <w14:schemeClr w14:val="tx1"/>
                  </w14:solidFill>
                </w14:textFill>
              </w:rPr>
            </w:pPr>
          </w:p>
        </w:tc>
        <w:tc>
          <w:tcPr>
            <w:tcW w:w="2812" w:type="dxa"/>
            <w:noWrap w:val="0"/>
            <w:vAlign w:val="center"/>
          </w:tcPr>
          <w:p w14:paraId="5FC12AD3">
            <w:pPr>
              <w:pStyle w:val="41"/>
              <w:spacing w:beforeLines="0" w:afterLines="0" w:line="240" w:lineRule="auto"/>
              <w:rPr>
                <w:rFonts w:hint="default"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杂质</w:t>
            </w:r>
          </w:p>
        </w:tc>
        <w:tc>
          <w:tcPr>
            <w:tcW w:w="1688" w:type="dxa"/>
            <w:noWrap w:val="0"/>
            <w:vAlign w:val="center"/>
          </w:tcPr>
          <w:p w14:paraId="7D0EC17C">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266" w:type="dxa"/>
            <w:noWrap w:val="0"/>
            <w:vAlign w:val="center"/>
          </w:tcPr>
          <w:p w14:paraId="273CF2F0">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688" w:type="dxa"/>
            <w:noWrap w:val="0"/>
            <w:vAlign w:val="center"/>
          </w:tcPr>
          <w:p w14:paraId="35942D68">
            <w:pPr>
              <w:pStyle w:val="41"/>
              <w:spacing w:beforeLines="0" w:afterLines="0" w:line="240" w:lineRule="auto"/>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547" w:type="dxa"/>
            <w:noWrap w:val="0"/>
            <w:vAlign w:val="center"/>
          </w:tcPr>
          <w:p w14:paraId="387D9360">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0.11</w:t>
            </w:r>
            <w:r>
              <w:rPr>
                <w:rFonts w:hint="default" w:ascii="Times New Roman" w:hAnsi="Times New Roman" w:eastAsia="宋体" w:cs="Times New Roman"/>
                <w:b w:val="0"/>
                <w:bCs w:val="0"/>
                <w:color w:val="000000" w:themeColor="text1"/>
                <w:szCs w:val="21"/>
                <w14:textFill>
                  <w14:solidFill>
                    <w14:schemeClr w14:val="tx1"/>
                  </w14:solidFill>
                </w14:textFill>
              </w:rPr>
              <w:t>t/a</w:t>
            </w:r>
          </w:p>
        </w:tc>
        <w:tc>
          <w:tcPr>
            <w:tcW w:w="1359" w:type="dxa"/>
            <w:noWrap w:val="0"/>
            <w:vAlign w:val="center"/>
          </w:tcPr>
          <w:p w14:paraId="2F50707E">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50723931">
            <w:pPr>
              <w:pStyle w:val="41"/>
              <w:spacing w:beforeLines="0" w:afterLines="0" w:line="240" w:lineRule="auto"/>
              <w:rPr>
                <w:rFonts w:hint="default" w:ascii="Times New Roman" w:hAnsi="Times New Roman" w:eastAsia="宋体" w:cs="Times New Roman"/>
                <w:b w:val="0"/>
                <w:bCs w:val="0"/>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0.11</w:t>
            </w:r>
            <w:r>
              <w:rPr>
                <w:rFonts w:hint="default" w:ascii="Times New Roman" w:hAnsi="Times New Roman" w:eastAsia="宋体" w:cs="Times New Roman"/>
                <w:b w:val="0"/>
                <w:bCs w:val="0"/>
                <w:color w:val="000000" w:themeColor="text1"/>
                <w:szCs w:val="21"/>
                <w14:textFill>
                  <w14:solidFill>
                    <w14:schemeClr w14:val="tx1"/>
                  </w14:solidFill>
                </w14:textFill>
              </w:rPr>
              <w:t>t/a</w:t>
            </w:r>
          </w:p>
        </w:tc>
        <w:tc>
          <w:tcPr>
            <w:tcW w:w="1733" w:type="dxa"/>
            <w:noWrap w:val="0"/>
            <w:vAlign w:val="center"/>
          </w:tcPr>
          <w:p w14:paraId="3EEE25B1">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+0.11</w:t>
            </w:r>
            <w:r>
              <w:rPr>
                <w:rFonts w:hint="default" w:ascii="Times New Roman" w:hAnsi="Times New Roman" w:eastAsia="宋体" w:cs="Times New Roman"/>
                <w:b w:val="0"/>
                <w:bCs w:val="0"/>
                <w:color w:val="000000" w:themeColor="text1"/>
                <w:szCs w:val="21"/>
                <w14:textFill>
                  <w14:solidFill>
                    <w14:schemeClr w14:val="tx1"/>
                  </w14:solidFill>
                </w14:textFill>
              </w:rPr>
              <w:t>t/a</w:t>
            </w:r>
          </w:p>
        </w:tc>
      </w:tr>
      <w:tr w14:paraId="66427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575" w:type="dxa"/>
            <w:vMerge w:val="restart"/>
            <w:noWrap w:val="0"/>
            <w:vAlign w:val="center"/>
          </w:tcPr>
          <w:p w14:paraId="13E092D3">
            <w:pPr>
              <w:pStyle w:val="41"/>
              <w:spacing w:beforeLines="0" w:afterLines="0" w:line="240" w:lineRule="auto"/>
              <w:rPr>
                <w:rFonts w:hint="eastAsia"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eastAsia="宋体" w:cs="Times New Roman"/>
                <w:snapToGrid w:val="0"/>
                <w:color w:val="000000" w:themeColor="text1"/>
                <w:kern w:val="21"/>
                <w:szCs w:val="21"/>
                <w:lang w:eastAsia="zh-CN"/>
                <w14:textFill>
                  <w14:solidFill>
                    <w14:schemeClr w14:val="tx1"/>
                  </w14:solidFill>
                </w14:textFill>
              </w:rPr>
              <w:t>危险废物</w:t>
            </w:r>
          </w:p>
        </w:tc>
        <w:tc>
          <w:tcPr>
            <w:tcW w:w="2812" w:type="dxa"/>
            <w:noWrap w:val="0"/>
            <w:vAlign w:val="center"/>
          </w:tcPr>
          <w:p w14:paraId="3C1E04E7">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废机油</w:t>
            </w:r>
          </w:p>
        </w:tc>
        <w:tc>
          <w:tcPr>
            <w:tcW w:w="1688" w:type="dxa"/>
            <w:noWrap w:val="0"/>
            <w:vAlign w:val="center"/>
          </w:tcPr>
          <w:p w14:paraId="65357B98">
            <w:pPr>
              <w:pStyle w:val="41"/>
              <w:spacing w:beforeLines="0" w:afterLines="0" w:line="240" w:lineRule="auto"/>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266" w:type="dxa"/>
            <w:noWrap w:val="0"/>
            <w:vAlign w:val="center"/>
          </w:tcPr>
          <w:p w14:paraId="0AAF65F0">
            <w:pPr>
              <w:pStyle w:val="41"/>
              <w:spacing w:beforeLines="0" w:afterLines="0" w:line="240" w:lineRule="auto"/>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688" w:type="dxa"/>
            <w:noWrap w:val="0"/>
            <w:vAlign w:val="center"/>
          </w:tcPr>
          <w:p w14:paraId="03E7357A">
            <w:pPr>
              <w:pStyle w:val="41"/>
              <w:spacing w:beforeLines="0" w:afterLines="0" w:line="240" w:lineRule="auto"/>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547" w:type="dxa"/>
            <w:noWrap w:val="0"/>
            <w:vAlign w:val="center"/>
          </w:tcPr>
          <w:p w14:paraId="646B4CFF">
            <w:pPr>
              <w:pStyle w:val="41"/>
              <w:spacing w:beforeLines="0" w:afterLines="0" w:line="240" w:lineRule="auto"/>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bidi="ar-SA"/>
              </w:rPr>
              <w:t>0.015t/a</w:t>
            </w:r>
          </w:p>
        </w:tc>
        <w:tc>
          <w:tcPr>
            <w:tcW w:w="1359" w:type="dxa"/>
            <w:noWrap w:val="0"/>
            <w:vAlign w:val="center"/>
          </w:tcPr>
          <w:p w14:paraId="453912B6">
            <w:pPr>
              <w:spacing w:beforeLines="0" w:afterLines="0" w:line="240" w:lineRule="auto"/>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11118DA3">
            <w:pPr>
              <w:pStyle w:val="41"/>
              <w:spacing w:beforeLines="0" w:afterLines="0" w:line="240" w:lineRule="auto"/>
              <w:jc w:val="center"/>
              <w:rPr>
                <w:rFonts w:hint="eastAsia" w:cs="Times New Roman"/>
                <w:b w:val="0"/>
                <w:bCs w:val="0"/>
                <w:snapToGrid w:val="0"/>
                <w:color w:val="000000" w:themeColor="text1"/>
                <w:kern w:val="21"/>
                <w:sz w:val="24"/>
                <w:szCs w:val="21"/>
                <w:lang w:val="en-US" w:eastAsia="zh-CN" w:bidi="ar-SA"/>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bidi="ar-SA"/>
              </w:rPr>
              <w:t>0.015t/a</w:t>
            </w:r>
          </w:p>
        </w:tc>
        <w:tc>
          <w:tcPr>
            <w:tcW w:w="1733" w:type="dxa"/>
            <w:noWrap w:val="0"/>
            <w:vAlign w:val="center"/>
          </w:tcPr>
          <w:p w14:paraId="2B2ACE35">
            <w:pPr>
              <w:pStyle w:val="41"/>
              <w:spacing w:beforeLines="0" w:afterLines="0" w:line="240" w:lineRule="auto"/>
              <w:jc w:val="center"/>
              <w:rPr>
                <w:rFonts w:hint="default" w:ascii="Times New Roman" w:hAnsi="Times New Roman" w:cs="Times New Roman"/>
                <w:b w:val="0"/>
                <w:bCs w:val="0"/>
                <w:snapToGrid w:val="0"/>
                <w:color w:val="000000" w:themeColor="text1"/>
                <w:kern w:val="21"/>
                <w:sz w:val="24"/>
                <w:szCs w:val="21"/>
                <w:lang w:val="en-US" w:eastAsia="zh-CN" w:bidi="ar-SA"/>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bidi="ar-SA"/>
              </w:rPr>
              <w:t>+0.015t/a</w:t>
            </w:r>
          </w:p>
        </w:tc>
      </w:tr>
      <w:tr w14:paraId="1A05A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575" w:type="dxa"/>
            <w:vMerge w:val="continue"/>
            <w:noWrap w:val="0"/>
            <w:vAlign w:val="center"/>
          </w:tcPr>
          <w:p w14:paraId="2E46B0A0">
            <w:pPr>
              <w:pStyle w:val="41"/>
              <w:spacing w:beforeLines="0" w:afterLines="0" w:line="240" w:lineRule="auto"/>
            </w:pPr>
          </w:p>
        </w:tc>
        <w:tc>
          <w:tcPr>
            <w:tcW w:w="2812" w:type="dxa"/>
            <w:noWrap w:val="0"/>
            <w:vAlign w:val="center"/>
          </w:tcPr>
          <w:p w14:paraId="5E2BB571">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废油桶</w:t>
            </w:r>
          </w:p>
        </w:tc>
        <w:tc>
          <w:tcPr>
            <w:tcW w:w="1688" w:type="dxa"/>
            <w:noWrap w:val="0"/>
            <w:vAlign w:val="center"/>
          </w:tcPr>
          <w:p w14:paraId="63F9F807">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266" w:type="dxa"/>
            <w:noWrap w:val="0"/>
            <w:vAlign w:val="center"/>
          </w:tcPr>
          <w:p w14:paraId="43D41B3E">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688" w:type="dxa"/>
            <w:noWrap w:val="0"/>
            <w:vAlign w:val="center"/>
          </w:tcPr>
          <w:p w14:paraId="752DA0E0">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547" w:type="dxa"/>
            <w:noWrap w:val="0"/>
            <w:vAlign w:val="center"/>
          </w:tcPr>
          <w:p w14:paraId="7E39BF64">
            <w:pPr>
              <w:pStyle w:val="41"/>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bidi="ar-SA"/>
              </w:rPr>
              <w:t>0.005t/a</w:t>
            </w:r>
          </w:p>
        </w:tc>
        <w:tc>
          <w:tcPr>
            <w:tcW w:w="1359" w:type="dxa"/>
            <w:noWrap w:val="0"/>
            <w:vAlign w:val="center"/>
          </w:tcPr>
          <w:p w14:paraId="42755764">
            <w:pPr>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1AC7A5FB">
            <w:pPr>
              <w:pStyle w:val="41"/>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bidi="ar-SA"/>
              </w:rPr>
              <w:t>0.005t/a</w:t>
            </w:r>
          </w:p>
        </w:tc>
        <w:tc>
          <w:tcPr>
            <w:tcW w:w="1733" w:type="dxa"/>
            <w:noWrap w:val="0"/>
            <w:vAlign w:val="center"/>
          </w:tcPr>
          <w:p w14:paraId="37F551D4">
            <w:pPr>
              <w:pStyle w:val="41"/>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bidi="ar-SA"/>
              </w:rPr>
              <w:t>+0.005t/a</w:t>
            </w:r>
          </w:p>
        </w:tc>
      </w:tr>
      <w:tr w14:paraId="7335A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575" w:type="dxa"/>
            <w:vMerge w:val="continue"/>
            <w:noWrap w:val="0"/>
            <w:vAlign w:val="center"/>
          </w:tcPr>
          <w:p w14:paraId="6EAC1D8F">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p>
        </w:tc>
        <w:tc>
          <w:tcPr>
            <w:tcW w:w="2812" w:type="dxa"/>
            <w:noWrap w:val="0"/>
            <w:vAlign w:val="center"/>
          </w:tcPr>
          <w:p w14:paraId="2DE357A2">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宋体" w:hAnsi="宋体" w:eastAsia="宋体" w:cs="宋体"/>
                <w:snapToGrid w:val="0"/>
                <w:color w:val="000000" w:themeColor="text1"/>
                <w:kern w:val="21"/>
                <w:szCs w:val="21"/>
                <w:lang w:val="en-US" w:eastAsia="zh-CN"/>
                <w14:textFill>
                  <w14:solidFill>
                    <w14:schemeClr w14:val="tx1"/>
                  </w14:solidFill>
                </w14:textFill>
              </w:rPr>
              <w:t>废含油抹布手套</w:t>
            </w:r>
          </w:p>
        </w:tc>
        <w:tc>
          <w:tcPr>
            <w:tcW w:w="1688" w:type="dxa"/>
            <w:noWrap w:val="0"/>
            <w:vAlign w:val="center"/>
          </w:tcPr>
          <w:p w14:paraId="76F7C085">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266" w:type="dxa"/>
            <w:noWrap w:val="0"/>
            <w:vAlign w:val="center"/>
          </w:tcPr>
          <w:p w14:paraId="1980B5C9">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688" w:type="dxa"/>
            <w:noWrap w:val="0"/>
            <w:vAlign w:val="center"/>
          </w:tcPr>
          <w:p w14:paraId="1B0C1A82">
            <w:pPr>
              <w:pStyle w:val="41"/>
              <w:spacing w:beforeLines="0" w:afterLines="0" w:line="240" w:lineRule="auto"/>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1"/>
                <w:lang w:val="en-US" w:eastAsia="zh-CN" w:bidi="ar-SA"/>
                <w14:textFill>
                  <w14:solidFill>
                    <w14:schemeClr w14:val="tx1"/>
                  </w14:solidFill>
                </w14:textFill>
              </w:rPr>
              <w:t>/</w:t>
            </w:r>
          </w:p>
        </w:tc>
        <w:tc>
          <w:tcPr>
            <w:tcW w:w="1547" w:type="dxa"/>
            <w:noWrap w:val="0"/>
            <w:vAlign w:val="center"/>
          </w:tcPr>
          <w:p w14:paraId="2334F121">
            <w:pPr>
              <w:pStyle w:val="41"/>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rPr>
              <w:t>0.03t/a</w:t>
            </w:r>
          </w:p>
        </w:tc>
        <w:tc>
          <w:tcPr>
            <w:tcW w:w="1359" w:type="dxa"/>
            <w:noWrap w:val="0"/>
            <w:vAlign w:val="center"/>
          </w:tcPr>
          <w:p w14:paraId="33ED22BC">
            <w:pPr>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62222005">
            <w:pPr>
              <w:pStyle w:val="41"/>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rPr>
              <w:t>0.03t/a</w:t>
            </w:r>
          </w:p>
        </w:tc>
        <w:tc>
          <w:tcPr>
            <w:tcW w:w="1733" w:type="dxa"/>
            <w:noWrap w:val="0"/>
            <w:vAlign w:val="center"/>
          </w:tcPr>
          <w:p w14:paraId="3452FD9B">
            <w:pPr>
              <w:pStyle w:val="41"/>
              <w:spacing w:beforeLines="0" w:afterLines="0" w:line="240" w:lineRule="auto"/>
              <w:jc w:val="center"/>
              <w:rPr>
                <w:rFonts w:hint="eastAsia" w:ascii="宋体" w:hAnsi="宋体" w:eastAsia="宋体" w:cs="宋体"/>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auto"/>
                <w:spacing w:val="0"/>
                <w:kern w:val="21"/>
                <w:sz w:val="24"/>
                <w:szCs w:val="24"/>
                <w:highlight w:val="none"/>
                <w:lang w:val="en-US" w:eastAsia="zh-CN"/>
              </w:rPr>
              <w:t>+0.03t/a</w:t>
            </w:r>
          </w:p>
        </w:tc>
      </w:tr>
      <w:tr w14:paraId="102F4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7" w:type="dxa"/>
            <w:gridSpan w:val="2"/>
            <w:noWrap w:val="0"/>
            <w:vAlign w:val="center"/>
          </w:tcPr>
          <w:p w14:paraId="37F2EB09">
            <w:pPr>
              <w:pStyle w:val="41"/>
              <w:spacing w:beforeLines="0" w:afterLines="0" w:line="240" w:lineRule="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生活垃圾</w:t>
            </w:r>
          </w:p>
        </w:tc>
        <w:tc>
          <w:tcPr>
            <w:tcW w:w="1688" w:type="dxa"/>
            <w:noWrap w:val="0"/>
            <w:vAlign w:val="center"/>
          </w:tcPr>
          <w:p w14:paraId="2CC02269">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266" w:type="dxa"/>
            <w:noWrap w:val="0"/>
            <w:vAlign w:val="center"/>
          </w:tcPr>
          <w:p w14:paraId="6C8E2BBF">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688" w:type="dxa"/>
            <w:noWrap w:val="0"/>
            <w:vAlign w:val="center"/>
          </w:tcPr>
          <w:p w14:paraId="3561CA18">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47" w:type="dxa"/>
            <w:noWrap w:val="0"/>
            <w:vAlign w:val="center"/>
          </w:tcPr>
          <w:p w14:paraId="6EDA4268">
            <w:pPr>
              <w:pStyle w:val="41"/>
              <w:spacing w:beforeLines="0" w:afterLines="0" w:line="240" w:lineRule="auto"/>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1.32</w:t>
            </w:r>
            <w:r>
              <w:rPr>
                <w:rFonts w:hint="default" w:ascii="Times New Roman" w:hAnsi="Times New Roman" w:eastAsia="宋体" w:cs="Times New Roman"/>
                <w:color w:val="000000" w:themeColor="text1"/>
                <w:szCs w:val="21"/>
                <w14:textFill>
                  <w14:solidFill>
                    <w14:schemeClr w14:val="tx1"/>
                  </w14:solidFill>
                </w14:textFill>
              </w:rPr>
              <w:t>t/a</w:t>
            </w:r>
          </w:p>
        </w:tc>
        <w:tc>
          <w:tcPr>
            <w:tcW w:w="1359" w:type="dxa"/>
            <w:noWrap w:val="0"/>
            <w:vAlign w:val="center"/>
          </w:tcPr>
          <w:p w14:paraId="4414689F">
            <w:pPr>
              <w:pStyle w:val="41"/>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418" w:type="dxa"/>
            <w:noWrap w:val="0"/>
            <w:vAlign w:val="center"/>
          </w:tcPr>
          <w:p w14:paraId="4F5AEB4C">
            <w:pPr>
              <w:pStyle w:val="41"/>
              <w:spacing w:beforeLines="0" w:afterLines="0" w:line="240" w:lineRule="auto"/>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1.32</w:t>
            </w:r>
            <w:r>
              <w:rPr>
                <w:rFonts w:hint="default" w:ascii="Times New Roman" w:hAnsi="Times New Roman" w:eastAsia="宋体" w:cs="Times New Roman"/>
                <w:color w:val="000000" w:themeColor="text1"/>
                <w:szCs w:val="21"/>
                <w14:textFill>
                  <w14:solidFill>
                    <w14:schemeClr w14:val="tx1"/>
                  </w14:solidFill>
                </w14:textFill>
              </w:rPr>
              <w:t>t/a</w:t>
            </w:r>
          </w:p>
        </w:tc>
        <w:tc>
          <w:tcPr>
            <w:tcW w:w="1733" w:type="dxa"/>
            <w:noWrap w:val="0"/>
            <w:vAlign w:val="center"/>
          </w:tcPr>
          <w:p w14:paraId="60E878AF">
            <w:pPr>
              <w:pStyle w:val="41"/>
              <w:spacing w:beforeLines="0" w:afterLines="0" w:line="240" w:lineRule="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1.32</w:t>
            </w:r>
            <w:r>
              <w:rPr>
                <w:rFonts w:hint="default" w:ascii="Times New Roman" w:hAnsi="Times New Roman" w:eastAsia="宋体" w:cs="Times New Roman"/>
                <w:color w:val="000000" w:themeColor="text1"/>
                <w:szCs w:val="21"/>
                <w14:textFill>
                  <w14:solidFill>
                    <w14:schemeClr w14:val="tx1"/>
                  </w14:solidFill>
                </w14:textFill>
              </w:rPr>
              <w:t>t/a</w:t>
            </w:r>
          </w:p>
        </w:tc>
      </w:tr>
    </w:tbl>
    <w:p w14:paraId="1AB98312">
      <w:pPr>
        <w:pStyle w:val="41"/>
        <w:spacing w:before="192" w:beforeLines="80" w:after="24"/>
        <w:jc w:val="lef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sectPr>
          <w:pgSz w:w="16838" w:h="11906" w:orient="landscape"/>
          <w:pgMar w:top="1800" w:right="1440" w:bottom="1701"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napToGrid w:val="0"/>
          <w:color w:val="000000" w:themeColor="text1"/>
          <w:kern w:val="21"/>
          <w:szCs w:val="21"/>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p w14:paraId="532F93DB">
      <w:pPr>
        <w:rPr>
          <w:rFonts w:hint="eastAsia" w:eastAsia="宋体"/>
          <w:lang w:eastAsia="zh-CN"/>
        </w:rPr>
      </w:pPr>
      <w:r>
        <w:rPr>
          <w:rFonts w:hint="eastAsia" w:eastAsia="宋体"/>
          <w:lang w:eastAsia="zh-CN"/>
        </w:rPr>
        <w:drawing>
          <wp:inline distT="0" distB="0" distL="114300" distR="114300">
            <wp:extent cx="6244590" cy="8834120"/>
            <wp:effectExtent l="0" t="0" r="3810" b="5080"/>
            <wp:docPr id="18" name="图片 18" descr="微信图片_2024082017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820170607"/>
                    <pic:cNvPicPr>
                      <a:picLocks noChangeAspect="1"/>
                    </pic:cNvPicPr>
                  </pic:nvPicPr>
                  <pic:blipFill>
                    <a:blip r:embed="rId27"/>
                    <a:stretch>
                      <a:fillRect/>
                    </a:stretch>
                  </pic:blipFill>
                  <pic:spPr>
                    <a:xfrm>
                      <a:off x="0" y="0"/>
                      <a:ext cx="6244590" cy="8834120"/>
                    </a:xfrm>
                    <a:prstGeom prst="rect">
                      <a:avLst/>
                    </a:prstGeom>
                  </pic:spPr>
                </pic:pic>
              </a:graphicData>
            </a:graphic>
          </wp:inline>
        </w:drawing>
      </w:r>
    </w:p>
    <w:p w14:paraId="1B927845">
      <w:pPr>
        <w:rPr>
          <w:rFonts w:hint="eastAsia" w:eastAsia="宋体"/>
          <w:lang w:eastAsia="zh-CN"/>
        </w:rPr>
      </w:pPr>
    </w:p>
    <w:p w14:paraId="33056113">
      <w:pPr>
        <w:pStyle w:val="21"/>
        <w:rPr>
          <w:rFonts w:hint="eastAsia"/>
          <w:lang w:eastAsia="zh-CN"/>
        </w:rPr>
        <w:sectPr>
          <w:footerReference r:id="rId7" w:type="default"/>
          <w:pgSz w:w="11906" w:h="16838"/>
          <w:pgMar w:top="1440" w:right="1701"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eastAsia="zh-CN"/>
        </w:rPr>
        <w:drawing>
          <wp:inline distT="0" distB="0" distL="114300" distR="114300">
            <wp:extent cx="5847715" cy="8272780"/>
            <wp:effectExtent l="0" t="0" r="635" b="13970"/>
            <wp:docPr id="31" name="图片 31" descr="微信图片_2024082017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40820170606"/>
                    <pic:cNvPicPr>
                      <a:picLocks noChangeAspect="1"/>
                    </pic:cNvPicPr>
                  </pic:nvPicPr>
                  <pic:blipFill>
                    <a:blip r:embed="rId28"/>
                    <a:stretch>
                      <a:fillRect/>
                    </a:stretch>
                  </pic:blipFill>
                  <pic:spPr>
                    <a:xfrm>
                      <a:off x="0" y="0"/>
                      <a:ext cx="5847715" cy="8272780"/>
                    </a:xfrm>
                    <a:prstGeom prst="rect">
                      <a:avLst/>
                    </a:prstGeom>
                  </pic:spPr>
                </pic:pic>
              </a:graphicData>
            </a:graphic>
          </wp:inline>
        </w:drawing>
      </w:r>
      <w:r>
        <w:rPr>
          <w:rFonts w:hint="eastAsia"/>
          <w:lang w:eastAsia="zh-CN"/>
        </w:rPr>
        <w:drawing>
          <wp:inline distT="0" distB="0" distL="114300" distR="114300">
            <wp:extent cx="5975985" cy="8453755"/>
            <wp:effectExtent l="0" t="0" r="5715" b="4445"/>
            <wp:docPr id="32" name="图片 32" descr="微信图片_202408201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0820170605"/>
                    <pic:cNvPicPr>
                      <a:picLocks noChangeAspect="1"/>
                    </pic:cNvPicPr>
                  </pic:nvPicPr>
                  <pic:blipFill>
                    <a:blip r:embed="rId29"/>
                    <a:stretch>
                      <a:fillRect/>
                    </a:stretch>
                  </pic:blipFill>
                  <pic:spPr>
                    <a:xfrm>
                      <a:off x="0" y="0"/>
                      <a:ext cx="5975985" cy="8453755"/>
                    </a:xfrm>
                    <a:prstGeom prst="rect">
                      <a:avLst/>
                    </a:prstGeom>
                  </pic:spPr>
                </pic:pic>
              </a:graphicData>
            </a:graphic>
          </wp:inline>
        </w:drawing>
      </w:r>
      <w:r>
        <w:rPr>
          <w:rFonts w:hint="eastAsia"/>
          <w:lang w:eastAsia="zh-CN"/>
        </w:rPr>
        <w:drawing>
          <wp:inline distT="0" distB="0" distL="114300" distR="114300">
            <wp:extent cx="6224905" cy="8806180"/>
            <wp:effectExtent l="0" t="0" r="4445" b="13970"/>
            <wp:docPr id="33" name="图片 33" descr="微信图片_2024082017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40820170604"/>
                    <pic:cNvPicPr>
                      <a:picLocks noChangeAspect="1"/>
                    </pic:cNvPicPr>
                  </pic:nvPicPr>
                  <pic:blipFill>
                    <a:blip r:embed="rId30"/>
                    <a:stretch>
                      <a:fillRect/>
                    </a:stretch>
                  </pic:blipFill>
                  <pic:spPr>
                    <a:xfrm>
                      <a:off x="0" y="0"/>
                      <a:ext cx="6224905" cy="8806180"/>
                    </a:xfrm>
                    <a:prstGeom prst="rect">
                      <a:avLst/>
                    </a:prstGeom>
                  </pic:spPr>
                </pic:pic>
              </a:graphicData>
            </a:graphic>
          </wp:inline>
        </w:drawing>
      </w:r>
    </w:p>
    <w:p w14:paraId="794A5876">
      <w:pPr>
        <w:pStyle w:val="18"/>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附件</w:t>
      </w:r>
      <w:r>
        <w:rPr>
          <w:rFonts w:hint="eastAsia"/>
          <w:color w:val="000000" w:themeColor="text1"/>
          <w:lang w:val="en-US" w:eastAsia="zh-CN"/>
          <w14:textFill>
            <w14:solidFill>
              <w14:schemeClr w14:val="tx1"/>
            </w14:solidFill>
          </w14:textFill>
        </w:rPr>
        <w:t>1：委托书</w:t>
      </w:r>
    </w:p>
    <w:p w14:paraId="14288991">
      <w:pPr>
        <w:spacing w:line="360" w:lineRule="auto"/>
        <w:jc w:val="center"/>
        <w:rPr>
          <w:rFonts w:hint="eastAsia" w:ascii="Times New Roman" w:hAnsi="Times New Roman" w:eastAsia="宋体" w:cs="Times New Roman"/>
          <w:b/>
          <w:bCs/>
          <w:color w:val="000000" w:themeColor="text1"/>
          <w:sz w:val="44"/>
          <w:szCs w:val="44"/>
          <w:lang w:eastAsia="zh-CN"/>
          <w14:textFill>
            <w14:solidFill>
              <w14:schemeClr w14:val="tx1"/>
            </w14:solidFill>
          </w14:textFill>
        </w:rPr>
      </w:pPr>
      <w:r>
        <w:rPr>
          <w:rFonts w:hint="eastAsia" w:ascii="Times New Roman" w:hAnsi="Times New Roman" w:eastAsia="宋体" w:cs="Times New Roman"/>
          <w:b/>
          <w:bCs/>
          <w:color w:val="000000" w:themeColor="text1"/>
          <w:sz w:val="44"/>
          <w:szCs w:val="44"/>
          <w:lang w:eastAsia="zh-CN"/>
          <w14:textFill>
            <w14:solidFill>
              <w14:schemeClr w14:val="tx1"/>
            </w14:solidFill>
          </w14:textFill>
        </w:rPr>
        <w:drawing>
          <wp:inline distT="0" distB="0" distL="114300" distR="114300">
            <wp:extent cx="8310880" cy="6158230"/>
            <wp:effectExtent l="0" t="0" r="13970" b="13970"/>
            <wp:docPr id="11" name="图片 11" descr="214efbfcc8b87e11db47ecd6ee73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4efbfcc8b87e11db47ecd6ee7333f"/>
                    <pic:cNvPicPr>
                      <a:picLocks noChangeAspect="1"/>
                    </pic:cNvPicPr>
                  </pic:nvPicPr>
                  <pic:blipFill>
                    <a:blip r:embed="rId31"/>
                    <a:stretch>
                      <a:fillRect/>
                    </a:stretch>
                  </pic:blipFill>
                  <pic:spPr>
                    <a:xfrm rot="5400000">
                      <a:off x="0" y="0"/>
                      <a:ext cx="8310880" cy="6158230"/>
                    </a:xfrm>
                    <a:prstGeom prst="rect">
                      <a:avLst/>
                    </a:prstGeom>
                  </pic:spPr>
                </pic:pic>
              </a:graphicData>
            </a:graphic>
          </wp:inline>
        </w:drawing>
      </w:r>
    </w:p>
    <w:p w14:paraId="08FCC58C">
      <w:pPr>
        <w:pStyle w:val="18"/>
        <w:ind w:left="0" w:leftChars="0" w:firstLine="0" w:firstLineChars="0"/>
        <w:rPr>
          <w:rFonts w:hint="default" w:eastAsia="宋体"/>
          <w:lang w:val="en-US" w:eastAsia="zh-CN"/>
        </w:rPr>
      </w:pPr>
      <w:r>
        <w:rPr>
          <w:rFonts w:hint="eastAsia"/>
          <w:lang w:eastAsia="zh-CN"/>
        </w:rPr>
        <w:t>附件</w:t>
      </w:r>
      <w:r>
        <w:rPr>
          <w:rFonts w:hint="eastAsia"/>
          <w:lang w:val="en-US" w:eastAsia="zh-CN"/>
        </w:rPr>
        <w:t>2：项目立项文件</w:t>
      </w:r>
    </w:p>
    <w:p w14:paraId="6A82366B">
      <w:pPr>
        <w:pStyle w:val="18"/>
        <w:ind w:left="0" w:leftChars="0" w:firstLine="0" w:firstLineChars="0"/>
        <w:rPr>
          <w:rFonts w:hint="eastAsia" w:eastAsia="宋体"/>
          <w:color w:val="000000" w:themeColor="text1"/>
          <w:lang w:eastAsia="zh-CN"/>
          <w14:textFill>
            <w14:solidFill>
              <w14:schemeClr w14:val="tx1"/>
            </w14:solidFill>
          </w14:textFill>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887085" cy="8263890"/>
            <wp:effectExtent l="0" t="0" r="18415" b="381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2"/>
                    <a:stretch>
                      <a:fillRect/>
                    </a:stretch>
                  </pic:blipFill>
                  <pic:spPr>
                    <a:xfrm>
                      <a:off x="0" y="0"/>
                      <a:ext cx="5887085" cy="8263890"/>
                    </a:xfrm>
                    <a:prstGeom prst="rect">
                      <a:avLst/>
                    </a:prstGeom>
                    <a:noFill/>
                    <a:ln>
                      <a:noFill/>
                    </a:ln>
                  </pic:spPr>
                </pic:pic>
              </a:graphicData>
            </a:graphic>
          </wp:inline>
        </w:drawing>
      </w:r>
    </w:p>
    <w:p w14:paraId="12167567">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附件3：营业执照</w:t>
      </w:r>
    </w:p>
    <w:p w14:paraId="3B4F0B4B">
      <w:pPr>
        <w:pStyle w:val="21"/>
        <w:rPr>
          <w:rFonts w:hint="default"/>
          <w:lang w:val="en-US" w:eastAsia="zh-CN"/>
        </w:rPr>
      </w:pPr>
      <w:r>
        <w:rPr>
          <w:rFonts w:hint="default"/>
          <w:lang w:val="en-US" w:eastAsia="zh-CN"/>
        </w:rPr>
        <w:drawing>
          <wp:inline distT="0" distB="0" distL="114300" distR="114300">
            <wp:extent cx="5961380" cy="8296910"/>
            <wp:effectExtent l="0" t="0" r="1270" b="8890"/>
            <wp:docPr id="3" name="图片 3"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
                    <pic:cNvPicPr>
                      <a:picLocks noChangeAspect="1"/>
                    </pic:cNvPicPr>
                  </pic:nvPicPr>
                  <pic:blipFill>
                    <a:blip r:embed="rId33"/>
                    <a:stretch>
                      <a:fillRect/>
                    </a:stretch>
                  </pic:blipFill>
                  <pic:spPr>
                    <a:xfrm rot="10800000">
                      <a:off x="0" y="0"/>
                      <a:ext cx="5961380" cy="8296910"/>
                    </a:xfrm>
                    <a:prstGeom prst="rect">
                      <a:avLst/>
                    </a:prstGeom>
                  </pic:spPr>
                </pic:pic>
              </a:graphicData>
            </a:graphic>
          </wp:inline>
        </w:drawing>
      </w:r>
    </w:p>
    <w:p w14:paraId="58FD2A7F">
      <w:pPr>
        <w:rPr>
          <w:rFonts w:hint="eastAsia"/>
          <w:color w:val="000000" w:themeColor="text1"/>
          <w:lang w:eastAsia="zh-CN"/>
          <w14:textFill>
            <w14:solidFill>
              <w14:schemeClr w14:val="tx1"/>
            </w14:solidFill>
          </w14:textFill>
        </w:rPr>
      </w:pPr>
    </w:p>
    <w:p w14:paraId="01BE0F8A">
      <w:pP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附件</w:t>
      </w:r>
      <w:r>
        <w:rPr>
          <w:rFonts w:hint="eastAsia"/>
          <w:color w:val="000000" w:themeColor="text1"/>
          <w:lang w:val="en-US" w:eastAsia="zh-CN"/>
          <w14:textFill>
            <w14:solidFill>
              <w14:schemeClr w14:val="tx1"/>
            </w14:solidFill>
          </w14:textFill>
        </w:rPr>
        <w:t>4：土地性质文件及租赁协议</w:t>
      </w:r>
    </w:p>
    <w:p w14:paraId="30EE9FE2">
      <w:pPr>
        <w:rPr>
          <w:rFonts w:hint="eastAsia"/>
          <w:color w:val="000000" w:themeColor="text1"/>
          <w:lang w:val="en-US" w:eastAsia="zh-CN"/>
          <w14:textFill>
            <w14:solidFill>
              <w14:schemeClr w14:val="tx1"/>
            </w14:solidFill>
          </w14:textFill>
        </w:rPr>
      </w:pPr>
    </w:p>
    <w:p w14:paraId="49A0520C">
      <w:pPr>
        <w:pStyle w:val="21"/>
        <w:rPr>
          <w:rFonts w:hint="default"/>
          <w:lang w:val="en-US" w:eastAsia="zh-CN"/>
        </w:rPr>
      </w:pPr>
      <w:r>
        <w:rPr>
          <w:rFonts w:hint="default"/>
          <w:lang w:val="en-US" w:eastAsia="zh-CN"/>
        </w:rPr>
        <w:drawing>
          <wp:inline distT="0" distB="0" distL="114300" distR="114300">
            <wp:extent cx="5970905" cy="7961630"/>
            <wp:effectExtent l="0" t="0" r="10795" b="1270"/>
            <wp:docPr id="5" name="图片 5" descr="a367ad927187631a3b120f684053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67ad927187631a3b120f684053e17"/>
                    <pic:cNvPicPr>
                      <a:picLocks noChangeAspect="1"/>
                    </pic:cNvPicPr>
                  </pic:nvPicPr>
                  <pic:blipFill>
                    <a:blip r:embed="rId34"/>
                    <a:stretch>
                      <a:fillRect/>
                    </a:stretch>
                  </pic:blipFill>
                  <pic:spPr>
                    <a:xfrm>
                      <a:off x="0" y="0"/>
                      <a:ext cx="5970905" cy="7961630"/>
                    </a:xfrm>
                    <a:prstGeom prst="rect">
                      <a:avLst/>
                    </a:prstGeom>
                  </pic:spPr>
                </pic:pic>
              </a:graphicData>
            </a:graphic>
          </wp:inline>
        </w:drawing>
      </w:r>
      <w:r>
        <w:rPr>
          <w:rFonts w:hint="default"/>
          <w:lang w:val="en-US" w:eastAsia="zh-CN"/>
        </w:rPr>
        <w:drawing>
          <wp:inline distT="0" distB="0" distL="114300" distR="114300">
            <wp:extent cx="5697220" cy="7953375"/>
            <wp:effectExtent l="0" t="0" r="0" b="0"/>
            <wp:docPr id="6" name="图片 6" descr="380ea05479586ccba048ceddf031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0ea05479586ccba048ceddf0312d7"/>
                    <pic:cNvPicPr>
                      <a:picLocks noChangeAspect="1"/>
                    </pic:cNvPicPr>
                  </pic:nvPicPr>
                  <pic:blipFill>
                    <a:blip r:embed="rId35"/>
                    <a:srcRect l="4452"/>
                    <a:stretch>
                      <a:fillRect/>
                    </a:stretch>
                  </pic:blipFill>
                  <pic:spPr>
                    <a:xfrm>
                      <a:off x="0" y="0"/>
                      <a:ext cx="5697220" cy="7953375"/>
                    </a:xfrm>
                    <a:prstGeom prst="rect">
                      <a:avLst/>
                    </a:prstGeom>
                  </pic:spPr>
                </pic:pic>
              </a:graphicData>
            </a:graphic>
          </wp:inline>
        </w:drawing>
      </w:r>
      <w:r>
        <w:rPr>
          <w:rFonts w:hint="default"/>
          <w:lang w:val="en-US" w:eastAsia="zh-CN"/>
        </w:rPr>
        <w:drawing>
          <wp:inline distT="0" distB="0" distL="114300" distR="114300">
            <wp:extent cx="5670550" cy="8286750"/>
            <wp:effectExtent l="0" t="0" r="0" b="0"/>
            <wp:docPr id="7" name="图片 7" descr="4dce2f3262f343af17cd4321428d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ce2f3262f343af17cd4321428d159"/>
                    <pic:cNvPicPr>
                      <a:picLocks noChangeAspect="1"/>
                    </pic:cNvPicPr>
                  </pic:nvPicPr>
                  <pic:blipFill>
                    <a:blip r:embed="rId36"/>
                    <a:srcRect l="8719"/>
                    <a:stretch>
                      <a:fillRect/>
                    </a:stretch>
                  </pic:blipFill>
                  <pic:spPr>
                    <a:xfrm>
                      <a:off x="0" y="0"/>
                      <a:ext cx="5670550" cy="8286750"/>
                    </a:xfrm>
                    <a:prstGeom prst="rect">
                      <a:avLst/>
                    </a:prstGeom>
                  </pic:spPr>
                </pic:pic>
              </a:graphicData>
            </a:graphic>
          </wp:inline>
        </w:drawing>
      </w:r>
    </w:p>
    <w:p w14:paraId="36CC7378">
      <w:pPr>
        <w:rPr>
          <w:rFonts w:hint="default"/>
          <w:lang w:val="en-US" w:eastAsia="zh-CN"/>
        </w:rPr>
      </w:pPr>
    </w:p>
    <w:p w14:paraId="6D9844AE">
      <w:pPr>
        <w:pStyle w:val="21"/>
        <w:rPr>
          <w:rFonts w:hint="eastAsia"/>
          <w:lang w:val="en-US" w:eastAsia="zh-CN"/>
        </w:rPr>
      </w:pPr>
    </w:p>
    <w:p w14:paraId="37B3B4B3">
      <w:pPr>
        <w:pStyle w:val="21"/>
        <w:rPr>
          <w:rFonts w:hint="eastAsia"/>
          <w:lang w:val="en-US" w:eastAsia="zh-CN"/>
        </w:rPr>
      </w:pPr>
      <w:r>
        <w:rPr>
          <w:rFonts w:hint="default"/>
          <w:lang w:val="en-US" w:eastAsia="zh-CN"/>
        </w:rPr>
        <w:drawing>
          <wp:anchor distT="0" distB="0" distL="114300" distR="114300" simplePos="0" relativeHeight="251675648" behindDoc="0" locked="0" layoutInCell="1" allowOverlap="1">
            <wp:simplePos x="0" y="0"/>
            <wp:positionH relativeFrom="column">
              <wp:posOffset>-296545</wp:posOffset>
            </wp:positionH>
            <wp:positionV relativeFrom="paragraph">
              <wp:posOffset>289560</wp:posOffset>
            </wp:positionV>
            <wp:extent cx="5845810" cy="8235315"/>
            <wp:effectExtent l="0" t="0" r="2540" b="13335"/>
            <wp:wrapTopAndBottom/>
            <wp:docPr id="91" name="图片 91" descr="144130776150756cdbdc558385e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44130776150756cdbdc558385e4fb1"/>
                    <pic:cNvPicPr>
                      <a:picLocks noChangeAspect="1"/>
                    </pic:cNvPicPr>
                  </pic:nvPicPr>
                  <pic:blipFill>
                    <a:blip r:embed="rId37"/>
                    <a:stretch>
                      <a:fillRect/>
                    </a:stretch>
                  </pic:blipFill>
                  <pic:spPr>
                    <a:xfrm>
                      <a:off x="0" y="0"/>
                      <a:ext cx="5845810" cy="8235315"/>
                    </a:xfrm>
                    <a:prstGeom prst="rect">
                      <a:avLst/>
                    </a:prstGeom>
                  </pic:spPr>
                </pic:pic>
              </a:graphicData>
            </a:graphic>
          </wp:anchor>
        </w:drawing>
      </w:r>
      <w:r>
        <w:rPr>
          <w:rFonts w:hint="eastAsia"/>
          <w:lang w:val="en-US" w:eastAsia="zh-CN"/>
        </w:rPr>
        <w:t>附件5：生物菌剂质检报告</w:t>
      </w:r>
    </w:p>
    <w:p w14:paraId="6023DB86">
      <w:pPr>
        <w:rPr>
          <w:rFonts w:hint="eastAsia"/>
          <w:lang w:val="en-US" w:eastAsia="zh-CN"/>
        </w:rPr>
      </w:pPr>
    </w:p>
    <w:p w14:paraId="059F326F">
      <w:pPr>
        <w:rPr>
          <w:rFonts w:hint="default"/>
          <w:lang w:val="en-US" w:eastAsia="zh-CN"/>
        </w:rPr>
      </w:pPr>
      <w:r>
        <w:rPr>
          <w:rFonts w:hint="default"/>
          <w:lang w:val="en-US" w:eastAsia="zh-CN"/>
        </w:rPr>
        <w:drawing>
          <wp:inline distT="0" distB="0" distL="114300" distR="114300">
            <wp:extent cx="5553710" cy="8678545"/>
            <wp:effectExtent l="0" t="0" r="8890" b="8255"/>
            <wp:docPr id="92" name="图片 92" descr="a5cf6b54dfa217413248c67b13b8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a5cf6b54dfa217413248c67b13b8d44"/>
                    <pic:cNvPicPr>
                      <a:picLocks noChangeAspect="1"/>
                    </pic:cNvPicPr>
                  </pic:nvPicPr>
                  <pic:blipFill>
                    <a:blip r:embed="rId38"/>
                    <a:stretch>
                      <a:fillRect/>
                    </a:stretch>
                  </pic:blipFill>
                  <pic:spPr>
                    <a:xfrm>
                      <a:off x="0" y="0"/>
                      <a:ext cx="5553710" cy="8678545"/>
                    </a:xfrm>
                    <a:prstGeom prst="rect">
                      <a:avLst/>
                    </a:prstGeom>
                  </pic:spPr>
                </pic:pic>
              </a:graphicData>
            </a:graphic>
          </wp:inline>
        </w:drawing>
      </w:r>
    </w:p>
    <w:p w14:paraId="49029315">
      <w:pPr>
        <w:rPr>
          <w:rFonts w:hint="default"/>
          <w:lang w:val="en-US" w:eastAsia="zh-CN"/>
        </w:rPr>
      </w:pPr>
      <w:r>
        <w:rPr>
          <w:rFonts w:hint="default"/>
          <w:lang w:val="en-US" w:eastAsia="zh-CN"/>
        </w:rPr>
        <w:drawing>
          <wp:inline distT="0" distB="0" distL="114300" distR="114300">
            <wp:extent cx="5526405" cy="8486775"/>
            <wp:effectExtent l="0" t="0" r="17145" b="9525"/>
            <wp:docPr id="93" name="图片 93" descr="26562b2832b0eea0f0a1a336d333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6562b2832b0eea0f0a1a336d3337db"/>
                    <pic:cNvPicPr>
                      <a:picLocks noChangeAspect="1"/>
                    </pic:cNvPicPr>
                  </pic:nvPicPr>
                  <pic:blipFill>
                    <a:blip r:embed="rId39"/>
                    <a:stretch>
                      <a:fillRect/>
                    </a:stretch>
                  </pic:blipFill>
                  <pic:spPr>
                    <a:xfrm>
                      <a:off x="0" y="0"/>
                      <a:ext cx="5526405" cy="8486775"/>
                    </a:xfrm>
                    <a:prstGeom prst="rect">
                      <a:avLst/>
                    </a:prstGeom>
                  </pic:spPr>
                </pic:pic>
              </a:graphicData>
            </a:graphic>
          </wp:inline>
        </w:drawing>
      </w:r>
    </w:p>
    <w:p w14:paraId="3513F950">
      <w:pPr>
        <w:pStyle w:val="21"/>
        <w:ind w:left="0" w:leftChars="0" w:firstLine="0" w:firstLineChars="0"/>
        <w:rPr>
          <w:rFonts w:hint="eastAsia"/>
          <w:lang w:val="en-US" w:eastAsia="zh-CN"/>
        </w:rPr>
      </w:pPr>
    </w:p>
    <w:p w14:paraId="6B6A783D">
      <w:pPr>
        <w:pStyle w:val="21"/>
        <w:ind w:left="0" w:leftChars="0" w:firstLine="0" w:firstLineChars="0"/>
        <w:rPr>
          <w:rFonts w:hint="eastAsia"/>
          <w:lang w:val="en-US"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-1280795</wp:posOffset>
            </wp:positionH>
            <wp:positionV relativeFrom="paragraph">
              <wp:posOffset>1129030</wp:posOffset>
            </wp:positionV>
            <wp:extent cx="8220075" cy="6089015"/>
            <wp:effectExtent l="1065530" t="0" r="0" b="0"/>
            <wp:wrapTopAndBottom/>
            <wp:docPr id="95" name="图片 95" descr="02afaabab2bca19a85ca9f8c7e20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02afaabab2bca19a85ca9f8c7e2052f"/>
                    <pic:cNvPicPr>
                      <a:picLocks noChangeAspect="1"/>
                    </pic:cNvPicPr>
                  </pic:nvPicPr>
                  <pic:blipFill>
                    <a:blip r:embed="rId40"/>
                    <a:srcRect r="2808"/>
                    <a:stretch>
                      <a:fillRect/>
                    </a:stretch>
                  </pic:blipFill>
                  <pic:spPr>
                    <a:xfrm rot="16200000">
                      <a:off x="0" y="0"/>
                      <a:ext cx="8220075" cy="6089015"/>
                    </a:xfrm>
                    <a:prstGeom prst="rect">
                      <a:avLst/>
                    </a:prstGeom>
                  </pic:spPr>
                </pic:pic>
              </a:graphicData>
            </a:graphic>
          </wp:anchor>
        </w:drawing>
      </w:r>
    </w:p>
    <w:p w14:paraId="10AFBB86">
      <w:pPr>
        <w:pStyle w:val="21"/>
        <w:rPr>
          <w:rFonts w:hint="eastAsia"/>
          <w:lang w:val="en-US" w:eastAsia="zh-CN"/>
        </w:rPr>
      </w:pPr>
    </w:p>
    <w:p w14:paraId="1018F4F1">
      <w:pPr>
        <w:pStyle w:val="21"/>
        <w:ind w:left="0" w:leftChars="0" w:firstLine="0" w:firstLineChars="0"/>
        <w:rPr>
          <w:rFonts w:hint="eastAsia"/>
          <w:lang w:val="en-US" w:eastAsia="zh-CN"/>
        </w:rPr>
      </w:pPr>
      <w:r>
        <w:rPr>
          <w:rFonts w:hint="eastAsia"/>
          <w:lang w:val="en-US" w:eastAsia="zh-CN"/>
        </w:rPr>
        <w:t>附件6：申请文件</w:t>
      </w:r>
    </w:p>
    <w:p w14:paraId="24A974E5">
      <w:pPr>
        <w:rPr>
          <w:rFonts w:hint="eastAsia"/>
          <w:lang w:val="en-US" w:eastAsia="zh-CN"/>
        </w:rPr>
      </w:pPr>
      <w:r>
        <w:rPr>
          <w:rFonts w:hint="eastAsia"/>
          <w:lang w:val="en-US" w:eastAsia="zh-CN"/>
        </w:rPr>
        <w:drawing>
          <wp:inline distT="0" distB="0" distL="114300" distR="114300">
            <wp:extent cx="8259445" cy="6179185"/>
            <wp:effectExtent l="0" t="0" r="12065" b="8255"/>
            <wp:docPr id="28" name="图片 28" descr="60d01b00c7e1d051ae612600053c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0d01b00c7e1d051ae612600053cd1c"/>
                    <pic:cNvPicPr>
                      <a:picLocks noChangeAspect="1"/>
                    </pic:cNvPicPr>
                  </pic:nvPicPr>
                  <pic:blipFill>
                    <a:blip r:embed="rId41"/>
                    <a:stretch>
                      <a:fillRect/>
                    </a:stretch>
                  </pic:blipFill>
                  <pic:spPr>
                    <a:xfrm rot="5400000">
                      <a:off x="0" y="0"/>
                      <a:ext cx="8259445" cy="6179185"/>
                    </a:xfrm>
                    <a:prstGeom prst="rect">
                      <a:avLst/>
                    </a:prstGeom>
                  </pic:spPr>
                </pic:pic>
              </a:graphicData>
            </a:graphic>
          </wp:inline>
        </w:drawing>
      </w:r>
    </w:p>
    <w:p w14:paraId="4F2151EA">
      <w:pPr>
        <w:pStyle w:val="21"/>
        <w:rPr>
          <w:rFonts w:hint="eastAsia"/>
          <w:lang w:val="en-US" w:eastAsia="zh-CN"/>
        </w:rPr>
      </w:pPr>
    </w:p>
    <w:p w14:paraId="533103CB">
      <w:pPr>
        <w:pStyle w:val="21"/>
        <w:ind w:left="0" w:leftChars="0" w:firstLine="0" w:firstLineChars="0"/>
        <w:rPr>
          <w:rFonts w:hint="eastAsia"/>
          <w:lang w:val="en-US" w:eastAsia="zh-CN"/>
        </w:rPr>
      </w:pPr>
      <w:r>
        <w:rPr>
          <w:rFonts w:hint="eastAsia"/>
          <w:lang w:val="en-US" w:eastAsia="zh-CN"/>
        </w:rPr>
        <w:t>附件7：公开说明</w:t>
      </w:r>
    </w:p>
    <w:p w14:paraId="3FB045C7">
      <w:pPr>
        <w:pStyle w:val="21"/>
        <w:ind w:left="0" w:leftChars="0" w:firstLine="0" w:firstLineChars="0"/>
        <w:rPr>
          <w:rFonts w:hint="default"/>
          <w:lang w:val="en-US" w:eastAsia="zh-CN"/>
        </w:rPr>
      </w:pPr>
      <w:r>
        <w:rPr>
          <w:rFonts w:hint="default"/>
          <w:lang w:val="en-US" w:eastAsia="zh-CN"/>
        </w:rPr>
        <w:drawing>
          <wp:inline distT="0" distB="0" distL="114300" distR="114300">
            <wp:extent cx="8092440" cy="6054090"/>
            <wp:effectExtent l="0" t="0" r="3810" b="3810"/>
            <wp:docPr id="22" name="图片 22" descr="a5d951a8cf2a1d73175da38d9574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5d951a8cf2a1d73175da38d9574ae3"/>
                    <pic:cNvPicPr>
                      <a:picLocks noChangeAspect="1"/>
                    </pic:cNvPicPr>
                  </pic:nvPicPr>
                  <pic:blipFill>
                    <a:blip r:embed="rId42"/>
                    <a:stretch>
                      <a:fillRect/>
                    </a:stretch>
                  </pic:blipFill>
                  <pic:spPr>
                    <a:xfrm rot="5400000">
                      <a:off x="0" y="0"/>
                      <a:ext cx="8092440" cy="6054090"/>
                    </a:xfrm>
                    <a:prstGeom prst="rect">
                      <a:avLst/>
                    </a:prstGeom>
                  </pic:spPr>
                </pic:pic>
              </a:graphicData>
            </a:graphic>
          </wp:inline>
        </w:drawing>
      </w:r>
    </w:p>
    <w:p w14:paraId="4453C716">
      <w:pPr>
        <w:pStyle w:val="21"/>
        <w:rPr>
          <w:rFonts w:hint="eastAsia"/>
          <w:lang w:val="en-US" w:eastAsia="zh-CN"/>
        </w:rPr>
      </w:pPr>
    </w:p>
    <w:p w14:paraId="68AB62E2">
      <w:pPr>
        <w:pStyle w:val="21"/>
        <w:rPr>
          <w:rFonts w:hint="default"/>
          <w:lang w:val="en-US" w:eastAsia="zh-CN"/>
        </w:rPr>
      </w:pPr>
      <w:r>
        <w:rPr>
          <w:rFonts w:hint="eastAsia"/>
          <w:lang w:val="en-US" w:eastAsia="zh-CN"/>
        </w:rPr>
        <w:t>附件8：排污权承诺书</w:t>
      </w:r>
    </w:p>
    <w:p w14:paraId="59383A10">
      <w:pPr>
        <w:pStyle w:val="21"/>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6132195" cy="8309610"/>
            <wp:effectExtent l="0" t="0" r="1905" b="15240"/>
            <wp:docPr id="8" name="图片 8" descr="aa5dbcbfef1484fb14a28b18e18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a5dbcbfef1484fb14a28b18e188229"/>
                    <pic:cNvPicPr>
                      <a:picLocks noChangeAspect="1"/>
                    </pic:cNvPicPr>
                  </pic:nvPicPr>
                  <pic:blipFill>
                    <a:blip r:embed="rId43"/>
                    <a:stretch>
                      <a:fillRect/>
                    </a:stretch>
                  </pic:blipFill>
                  <pic:spPr>
                    <a:xfrm>
                      <a:off x="0" y="0"/>
                      <a:ext cx="6132195" cy="8309610"/>
                    </a:xfrm>
                    <a:prstGeom prst="rect">
                      <a:avLst/>
                    </a:prstGeom>
                  </pic:spPr>
                </pic:pic>
              </a:graphicData>
            </a:graphic>
          </wp:inline>
        </w:drawing>
      </w:r>
    </w:p>
    <w:p w14:paraId="4DEEB4F6">
      <w:pPr>
        <w:jc w:val="center"/>
        <w:rPr>
          <w:rFonts w:hint="default" w:ascii="Times New Roman" w:hAnsi="Times New Roman" w:cs="Times New Roman"/>
          <w:color w:val="000000" w:themeColor="text1"/>
          <w:lang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1"/>
        </w:rPr>
        <mc:AlternateContent>
          <mc:Choice Requires="wpg">
            <w:drawing>
              <wp:anchor distT="0" distB="0" distL="114300" distR="114300" simplePos="0" relativeHeight="251666432" behindDoc="0" locked="0" layoutInCell="1" allowOverlap="1">
                <wp:simplePos x="0" y="0"/>
                <wp:positionH relativeFrom="column">
                  <wp:posOffset>5837555</wp:posOffset>
                </wp:positionH>
                <wp:positionV relativeFrom="paragraph">
                  <wp:posOffset>2306320</wp:posOffset>
                </wp:positionV>
                <wp:extent cx="1487170" cy="785495"/>
                <wp:effectExtent l="13970" t="6350" r="22860" b="27305"/>
                <wp:wrapNone/>
                <wp:docPr id="56" name="组合 56"/>
                <wp:cNvGraphicFramePr/>
                <a:graphic xmlns:a="http://schemas.openxmlformats.org/drawingml/2006/main">
                  <a:graphicData uri="http://schemas.microsoft.com/office/word/2010/wordprocessingGroup">
                    <wpg:wgp>
                      <wpg:cNvGrpSpPr/>
                      <wpg:grpSpPr>
                        <a:xfrm>
                          <a:off x="0" y="0"/>
                          <a:ext cx="1487170" cy="785495"/>
                          <a:chOff x="11499" y="2018268"/>
                          <a:chExt cx="2342" cy="1237"/>
                        </a:xfrm>
                        <a:effectLst/>
                      </wpg:grpSpPr>
                      <wps:wsp>
                        <wps:cNvPr id="54" name="矩形 54"/>
                        <wps:cNvSpPr/>
                        <wps:spPr>
                          <a:xfrm flipV="1">
                            <a:off x="11499" y="2019385"/>
                            <a:ext cx="120" cy="120"/>
                          </a:xfrm>
                          <a:prstGeom prst="rect">
                            <a:avLst/>
                          </a:prstGeom>
                          <a:solidFill>
                            <a:srgbClr val="4874CB"/>
                          </a:solidFill>
                          <a:ln w="28575" cap="flat" cmpd="sng">
                            <a:solidFill>
                              <a:srgbClr val="FF0000"/>
                            </a:solidFill>
                            <a:prstDash val="solid"/>
                            <a:miter/>
                            <a:headEnd type="none" w="med" len="med"/>
                            <a:tailEnd type="none" w="med" len="med"/>
                          </a:ln>
                          <a:effectLst/>
                        </wps:spPr>
                        <wps:bodyPr anchor="ctr" anchorCtr="0" upright="1"/>
                      </wps:wsp>
                      <wps:wsp>
                        <wps:cNvPr id="55" name="矩形标注 55"/>
                        <wps:cNvSpPr/>
                        <wps:spPr>
                          <a:xfrm>
                            <a:off x="11681" y="2018268"/>
                            <a:ext cx="2160" cy="484"/>
                          </a:xfrm>
                          <a:prstGeom prst="wedgeRectCallout">
                            <a:avLst>
                              <a:gd name="adj1" fmla="val -54208"/>
                              <a:gd name="adj2" fmla="val 188431"/>
                            </a:avLst>
                          </a:prstGeom>
                          <a:noFill/>
                          <a:ln w="12700" cap="flat" cmpd="sng">
                            <a:solidFill>
                              <a:srgbClr val="2E54A1"/>
                            </a:solidFill>
                            <a:prstDash val="solid"/>
                            <a:miter/>
                            <a:headEnd type="none" w="med" len="med"/>
                            <a:tailEnd type="none" w="med" len="med"/>
                          </a:ln>
                          <a:effectLst/>
                        </wps:spPr>
                        <wps:txbx>
                          <w:txbxContent>
                            <w:p w14:paraId="61B29E91">
                              <w:pPr>
                                <w:jc w:val="center"/>
                                <w:rPr>
                                  <w:color w:val="000000"/>
                                </w:rPr>
                              </w:pPr>
                              <w:r>
                                <w:rPr>
                                  <w:rFonts w:hint="eastAsia"/>
                                  <w:color w:val="000000"/>
                                </w:rPr>
                                <w:t>建设项目地理位置</w:t>
                              </w:r>
                            </w:p>
                          </w:txbxContent>
                        </wps:txbx>
                        <wps:bodyPr anchor="ctr" anchorCtr="0" upright="1"/>
                      </wps:wsp>
                    </wpg:wgp>
                  </a:graphicData>
                </a:graphic>
              </wp:anchor>
            </w:drawing>
          </mc:Choice>
          <mc:Fallback>
            <w:pict>
              <v:group id="_x0000_s1026" o:spid="_x0000_s1026" o:spt="203" style="position:absolute;left:0pt;margin-left:459.65pt;margin-top:181.6pt;height:61.85pt;width:117.1pt;z-index:251666432;mso-width-relative:page;mso-height-relative:page;" coordorigin="11499,2018268" coordsize="2342,1237" o:gfxdata="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FRYOwbcAAAADAEAAA8AAAAA&#10;AAAAAQAgAAAAIgAAAGRycy9kb3ducmV2LnhtbFBLAQIUABQAAAAIAIdO4kCVlDRvLQMAAFIIAAAO&#10;AAAAAAAAAAEAIAAAACsBAABkcnMvZTJvRG9jLnhtbFBLBQYAAAAABgAGAFkBAADKBgAAAAA=&#10;">
                <o:lock v:ext="edit" aspectratio="f"/>
                <v:rect id="_x0000_s1026" o:spid="_x0000_s1026" o:spt="1" style="position:absolute;left:11499;top:2019385;flip:y;height:120;width:120;v-text-anchor:middle;" fillcolor="#4874CB" filled="t" stroked="t" coordsize="21600,21600" o:gfxdata="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WmCb4A&#10;AADbAAAADwAAAAAAAAABACAAAAAiAAAAZHJzL2Rvd25yZXYueG1sUEsBAhQAFAAAAAgAh07iQDMv&#10;BZ47AAAAOQAAABAAAAAAAAAAAQAgAAAADQEAAGRycy9zaGFwZXhtbC54bWxQSwUGAAAAAAYABgBb&#10;AQAAtwMAAAAA&#10;">
                  <v:fill on="t" focussize="0,0"/>
                  <v:stroke weight="2.25pt" color="#FF0000" joinstyle="miter"/>
                  <v:imagedata o:title=""/>
                  <o:lock v:ext="edit" aspectratio="f"/>
                </v:rect>
                <v:shape id="_x0000_s1026" o:spid="_x0000_s1026" o:spt="61" type="#_x0000_t61" style="position:absolute;left:11681;top:2018268;height:484;width:2160;v-text-anchor:middle;" filled="f" stroked="t" coordsize="21600,21600" o:gfxdata="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5X1b4A&#10;AADbAAAADwAAAAAAAAABACAAAAAiAAAAZHJzL2Rvd25yZXYueG1sUEsBAhQAFAAAAAgAh07iQDMv&#10;BZ47AAAAOQAAABAAAAAAAAAAAQAgAAAADQEAAGRycy9zaGFwZXhtbC54bWxQSwUGAAAAAAYABgBb&#10;AQAAtwMAAAAA&#10;" adj="-909,51501">
                  <v:fill on="f" focussize="0,0"/>
                  <v:stroke weight="1pt" color="#2E54A1" joinstyle="miter"/>
                  <v:imagedata o:title=""/>
                  <o:lock v:ext="edit" aspectratio="f"/>
                  <v:textbox>
                    <w:txbxContent>
                      <w:p w14:paraId="61B29E91">
                        <w:pPr>
                          <w:jc w:val="center"/>
                          <w:rPr>
                            <w:color w:val="000000"/>
                          </w:rPr>
                        </w:pPr>
                        <w:r>
                          <w:rPr>
                            <w:rFonts w:hint="eastAsia"/>
                            <w:color w:val="000000"/>
                          </w:rPr>
                          <w:t>建设项目地理位置</w:t>
                        </w:r>
                      </w:p>
                    </w:txbxContent>
                  </v:textbox>
                </v:shape>
              </v:group>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2391410</wp:posOffset>
                </wp:positionH>
                <wp:positionV relativeFrom="paragraph">
                  <wp:posOffset>5058410</wp:posOffset>
                </wp:positionV>
                <wp:extent cx="4486910" cy="29527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486910" cy="295275"/>
                        </a:xfrm>
                        <a:prstGeom prst="rect">
                          <a:avLst/>
                        </a:prstGeom>
                        <a:noFill/>
                        <a:ln>
                          <a:noFill/>
                        </a:ln>
                        <a:effectLst/>
                      </wps:spPr>
                      <wps:txbx>
                        <w:txbxContent>
                          <w:p w14:paraId="74FA383F">
                            <w:pPr>
                              <w:jc w:val="center"/>
                              <w:rPr>
                                <w:rFonts w:hint="default" w:ascii="宋体" w:hAnsi="宋体" w:eastAsia="宋体" w:cs="宋体"/>
                                <w:b/>
                                <w:bCs/>
                                <w:spacing w:val="-2"/>
                                <w:sz w:val="24"/>
                                <w:szCs w:val="24"/>
                                <w:lang w:val="en-US" w:eastAsia="zh-CN"/>
                              </w:rPr>
                            </w:pPr>
                            <w:r>
                              <w:rPr>
                                <w:rFonts w:hint="eastAsia" w:ascii="宋体" w:hAnsi="宋体" w:eastAsia="宋体" w:cs="宋体"/>
                                <w:b/>
                                <w:bCs/>
                                <w:spacing w:val="-2"/>
                                <w:sz w:val="24"/>
                                <w:szCs w:val="24"/>
                                <w:lang w:val="en-US" w:eastAsia="zh-CN"/>
                              </w:rPr>
                              <w:t xml:space="preserve">附图1  </w:t>
                            </w:r>
                            <w:r>
                              <w:rPr>
                                <w:rFonts w:hint="eastAsia" w:ascii="宋体" w:hAnsi="宋体" w:eastAsia="宋体" w:cs="宋体"/>
                                <w:b/>
                                <w:bCs/>
                                <w:spacing w:val="-2"/>
                                <w:sz w:val="24"/>
                                <w:szCs w:val="24"/>
                              </w:rPr>
                              <w:t>项目地理位置图</w:t>
                            </w:r>
                          </w:p>
                        </w:txbxContent>
                      </wps:txbx>
                      <wps:bodyPr upright="1"/>
                    </wps:wsp>
                  </a:graphicData>
                </a:graphic>
              </wp:anchor>
            </w:drawing>
          </mc:Choice>
          <mc:Fallback>
            <w:pict>
              <v:shape id="_x0000_s1026" o:spid="_x0000_s1026" o:spt="202" type="#_x0000_t202" style="position:absolute;left:0pt;margin-left:188.3pt;margin-top:398.3pt;height:23.25pt;width:353.3pt;z-index:251665408;mso-width-relative:page;mso-height-relative:page;" filled="f" stroked="f" coordsize="21600,21600" o:gfxdata="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VIqdPZAAAADAEAAA8AAAAAAAAAAQAgAAAAIgAAAGRycy9kb3ducmV2LnhtbFBLAQIUABQAAAAI&#10;AIdO4kDMZm6FswEAAF4DAAAOAAAAAAAAAAEAIAAAACgBAABkcnMvZTJvRG9jLnhtbFBLBQYAAAAA&#10;BgAGAFkBAABNBQAAAAA=&#10;">
                <v:fill on="f" focussize="0,0"/>
                <v:stroke on="f"/>
                <v:imagedata o:title=""/>
                <o:lock v:ext="edit" aspectratio="f"/>
                <v:textbox>
                  <w:txbxContent>
                    <w:p w14:paraId="74FA383F">
                      <w:pPr>
                        <w:jc w:val="center"/>
                        <w:rPr>
                          <w:rFonts w:hint="default" w:ascii="宋体" w:hAnsi="宋体" w:eastAsia="宋体" w:cs="宋体"/>
                          <w:b/>
                          <w:bCs/>
                          <w:spacing w:val="-2"/>
                          <w:sz w:val="24"/>
                          <w:szCs w:val="24"/>
                          <w:lang w:val="en-US" w:eastAsia="zh-CN"/>
                        </w:rPr>
                      </w:pPr>
                      <w:r>
                        <w:rPr>
                          <w:rFonts w:hint="eastAsia" w:ascii="宋体" w:hAnsi="宋体" w:eastAsia="宋体" w:cs="宋体"/>
                          <w:b/>
                          <w:bCs/>
                          <w:spacing w:val="-2"/>
                          <w:sz w:val="24"/>
                          <w:szCs w:val="24"/>
                          <w:lang w:val="en-US" w:eastAsia="zh-CN"/>
                        </w:rPr>
                        <w:t xml:space="preserve">附图1  </w:t>
                      </w:r>
                      <w:r>
                        <w:rPr>
                          <w:rFonts w:hint="eastAsia" w:ascii="宋体" w:hAnsi="宋体" w:eastAsia="宋体" w:cs="宋体"/>
                          <w:b/>
                          <w:bCs/>
                          <w:spacing w:val="-2"/>
                          <w:sz w:val="24"/>
                          <w:szCs w:val="24"/>
                        </w:rPr>
                        <w:t>项目地理位置图</w:t>
                      </w:r>
                    </w:p>
                  </w:txbxContent>
                </v:textbox>
              </v:shape>
            </w:pict>
          </mc:Fallback>
        </mc:AlternateContent>
      </w:r>
      <w:r>
        <w:rPr>
          <w:color w:val="auto"/>
        </w:rPr>
        <w:drawing>
          <wp:anchor distT="0" distB="0" distL="114300" distR="114300" simplePos="0" relativeHeight="251664384" behindDoc="0" locked="0" layoutInCell="1" allowOverlap="1">
            <wp:simplePos x="0" y="0"/>
            <wp:positionH relativeFrom="column">
              <wp:posOffset>209550</wp:posOffset>
            </wp:positionH>
            <wp:positionV relativeFrom="paragraph">
              <wp:posOffset>90805</wp:posOffset>
            </wp:positionV>
            <wp:extent cx="848360" cy="861695"/>
            <wp:effectExtent l="9525" t="9525" r="18415" b="24130"/>
            <wp:wrapNone/>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pic:cNvPicPr>
                  </pic:nvPicPr>
                  <pic:blipFill>
                    <a:blip r:embed="rId44"/>
                    <a:stretch>
                      <a:fillRect/>
                    </a:stretch>
                  </pic:blipFill>
                  <pic:spPr>
                    <a:xfrm>
                      <a:off x="0" y="0"/>
                      <a:ext cx="848360" cy="861695"/>
                    </a:xfrm>
                    <a:prstGeom prst="rect">
                      <a:avLst/>
                    </a:prstGeom>
                    <a:noFill/>
                    <a:ln w="9525" cap="flat" cmpd="sng">
                      <a:solidFill>
                        <a:srgbClr val="000000"/>
                      </a:solidFill>
                      <a:prstDash val="solid"/>
                      <a:miter/>
                      <a:headEnd type="none" w="med" len="med"/>
                      <a:tailEnd type="none" w="med" len="med"/>
                    </a:ln>
                  </pic:spPr>
                </pic:pic>
              </a:graphicData>
            </a:graphic>
          </wp:anchor>
        </w:drawing>
      </w:r>
      <w:r>
        <w:rPr>
          <w:color w:val="auto"/>
        </w:rPr>
        <w:drawing>
          <wp:inline distT="0" distB="0" distL="114300" distR="114300">
            <wp:extent cx="8464550" cy="4966335"/>
            <wp:effectExtent l="12700" t="12700" r="19050" b="31115"/>
            <wp:docPr id="16" name="图片 8" descr="宝鸡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宝鸡市地图"/>
                    <pic:cNvPicPr>
                      <a:picLocks noChangeAspect="1"/>
                    </pic:cNvPicPr>
                  </pic:nvPicPr>
                  <pic:blipFill>
                    <a:blip r:embed="rId45"/>
                    <a:srcRect t="19600" b="25957"/>
                    <a:stretch>
                      <a:fillRect/>
                    </a:stretch>
                  </pic:blipFill>
                  <pic:spPr>
                    <a:xfrm>
                      <a:off x="0" y="0"/>
                      <a:ext cx="8464550" cy="496633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2D100E30">
      <w:pPr>
        <w:rPr>
          <w:rFonts w:hint="default"/>
          <w:color w:val="000000" w:themeColor="text1"/>
          <w:lang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2391410</wp:posOffset>
                </wp:positionH>
                <wp:positionV relativeFrom="paragraph">
                  <wp:posOffset>5127625</wp:posOffset>
                </wp:positionV>
                <wp:extent cx="4486910" cy="29527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4486910" cy="295275"/>
                        </a:xfrm>
                        <a:prstGeom prst="rect">
                          <a:avLst/>
                        </a:prstGeom>
                        <a:noFill/>
                        <a:ln>
                          <a:noFill/>
                        </a:ln>
                        <a:effectLst/>
                      </wps:spPr>
                      <wps:txbx>
                        <w:txbxContent>
                          <w:p w14:paraId="16615BF3">
                            <w:pPr>
                              <w:jc w:val="center"/>
                              <w:rPr>
                                <w:rFonts w:hint="eastAsia" w:ascii="宋体" w:hAnsi="宋体" w:eastAsia="宋体" w:cs="宋体"/>
                                <w:b/>
                                <w:bCs/>
                                <w:spacing w:val="-2"/>
                                <w:sz w:val="24"/>
                                <w:szCs w:val="24"/>
                                <w:lang w:val="en-US" w:eastAsia="zh-CN"/>
                              </w:rPr>
                            </w:pPr>
                            <w:r>
                              <w:rPr>
                                <w:rFonts w:hint="eastAsia" w:ascii="宋体" w:hAnsi="宋体" w:eastAsia="宋体" w:cs="宋体"/>
                                <w:b/>
                                <w:bCs/>
                                <w:spacing w:val="-2"/>
                                <w:sz w:val="24"/>
                                <w:szCs w:val="24"/>
                                <w:lang w:val="en-US" w:eastAsia="zh-CN"/>
                              </w:rPr>
                              <w:t>附图</w:t>
                            </w:r>
                            <w:r>
                              <w:rPr>
                                <w:rFonts w:hint="eastAsia" w:ascii="宋体" w:hAnsi="宋体" w:cs="宋体"/>
                                <w:b/>
                                <w:bCs/>
                                <w:spacing w:val="-2"/>
                                <w:sz w:val="24"/>
                                <w:szCs w:val="24"/>
                                <w:lang w:val="en-US" w:eastAsia="zh-CN"/>
                              </w:rPr>
                              <w:t>2</w:t>
                            </w:r>
                            <w:r>
                              <w:rPr>
                                <w:rFonts w:hint="eastAsia" w:ascii="宋体" w:hAnsi="宋体" w:eastAsia="宋体" w:cs="宋体"/>
                                <w:b/>
                                <w:bCs/>
                                <w:spacing w:val="-2"/>
                                <w:sz w:val="24"/>
                                <w:szCs w:val="24"/>
                                <w:lang w:val="en-US" w:eastAsia="zh-CN"/>
                              </w:rPr>
                              <w:t xml:space="preserve">  </w:t>
                            </w:r>
                            <w:r>
                              <w:rPr>
                                <w:rFonts w:hint="eastAsia" w:ascii="宋体" w:hAnsi="宋体" w:eastAsia="宋体" w:cs="宋体"/>
                                <w:b/>
                                <w:bCs/>
                                <w:spacing w:val="-2"/>
                                <w:sz w:val="24"/>
                                <w:szCs w:val="24"/>
                              </w:rPr>
                              <w:t>项目</w:t>
                            </w:r>
                            <w:r>
                              <w:rPr>
                                <w:rFonts w:hint="eastAsia" w:ascii="宋体" w:hAnsi="宋体" w:cs="宋体"/>
                                <w:b/>
                                <w:bCs/>
                                <w:spacing w:val="-2"/>
                                <w:sz w:val="24"/>
                                <w:szCs w:val="24"/>
                                <w:lang w:val="en-US" w:eastAsia="zh-CN"/>
                              </w:rPr>
                              <w:t>平面布置图</w:t>
                            </w:r>
                          </w:p>
                        </w:txbxContent>
                      </wps:txbx>
                      <wps:bodyPr upright="1"/>
                    </wps:wsp>
                  </a:graphicData>
                </a:graphic>
              </wp:anchor>
            </w:drawing>
          </mc:Choice>
          <mc:Fallback>
            <w:pict>
              <v:shape id="_x0000_s1026" o:spid="_x0000_s1026" o:spt="202" type="#_x0000_t202" style="position:absolute;left:0pt;margin-left:188.3pt;margin-top:403.75pt;height:23.25pt;width:353.3pt;z-index:251669504;mso-width-relative:page;mso-height-relative:page;" filled="f" stroked="f" coordsize="21600,21600" o:gfxdata="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kA502QAAAAwBAAAPAAAAAAAAAAEAIAAAACIAAABkcnMvZG93bnJldi54bWxQSwECFAAUAAAA&#10;CACHTuJAvTnOOLQBAABeAwAADgAAAAAAAAABACAAAAAoAQAAZHJzL2Uyb0RvYy54bWxQSwUGAAAA&#10;AAYABgBZAQAATgUAAAAA&#10;">
                <v:fill on="f" focussize="0,0"/>
                <v:stroke on="f"/>
                <v:imagedata o:title=""/>
                <o:lock v:ext="edit" aspectratio="f"/>
                <v:textbox>
                  <w:txbxContent>
                    <w:p w14:paraId="16615BF3">
                      <w:pPr>
                        <w:jc w:val="center"/>
                        <w:rPr>
                          <w:rFonts w:hint="eastAsia" w:ascii="宋体" w:hAnsi="宋体" w:eastAsia="宋体" w:cs="宋体"/>
                          <w:b/>
                          <w:bCs/>
                          <w:spacing w:val="-2"/>
                          <w:sz w:val="24"/>
                          <w:szCs w:val="24"/>
                          <w:lang w:val="en-US" w:eastAsia="zh-CN"/>
                        </w:rPr>
                      </w:pPr>
                      <w:r>
                        <w:rPr>
                          <w:rFonts w:hint="eastAsia" w:ascii="宋体" w:hAnsi="宋体" w:eastAsia="宋体" w:cs="宋体"/>
                          <w:b/>
                          <w:bCs/>
                          <w:spacing w:val="-2"/>
                          <w:sz w:val="24"/>
                          <w:szCs w:val="24"/>
                          <w:lang w:val="en-US" w:eastAsia="zh-CN"/>
                        </w:rPr>
                        <w:t>附图</w:t>
                      </w:r>
                      <w:r>
                        <w:rPr>
                          <w:rFonts w:hint="eastAsia" w:ascii="宋体" w:hAnsi="宋体" w:cs="宋体"/>
                          <w:b/>
                          <w:bCs/>
                          <w:spacing w:val="-2"/>
                          <w:sz w:val="24"/>
                          <w:szCs w:val="24"/>
                          <w:lang w:val="en-US" w:eastAsia="zh-CN"/>
                        </w:rPr>
                        <w:t>2</w:t>
                      </w:r>
                      <w:r>
                        <w:rPr>
                          <w:rFonts w:hint="eastAsia" w:ascii="宋体" w:hAnsi="宋体" w:eastAsia="宋体" w:cs="宋体"/>
                          <w:b/>
                          <w:bCs/>
                          <w:spacing w:val="-2"/>
                          <w:sz w:val="24"/>
                          <w:szCs w:val="24"/>
                          <w:lang w:val="en-US" w:eastAsia="zh-CN"/>
                        </w:rPr>
                        <w:t xml:space="preserve">  </w:t>
                      </w:r>
                      <w:r>
                        <w:rPr>
                          <w:rFonts w:hint="eastAsia" w:ascii="宋体" w:hAnsi="宋体" w:eastAsia="宋体" w:cs="宋体"/>
                          <w:b/>
                          <w:bCs/>
                          <w:spacing w:val="-2"/>
                          <w:sz w:val="24"/>
                          <w:szCs w:val="24"/>
                        </w:rPr>
                        <w:t>项目</w:t>
                      </w:r>
                      <w:r>
                        <w:rPr>
                          <w:rFonts w:hint="eastAsia" w:ascii="宋体" w:hAnsi="宋体" w:cs="宋体"/>
                          <w:b/>
                          <w:bCs/>
                          <w:spacing w:val="-2"/>
                          <w:sz w:val="24"/>
                          <w:szCs w:val="24"/>
                          <w:lang w:val="en-US" w:eastAsia="zh-CN"/>
                        </w:rPr>
                        <w:t>平面布置图</w:t>
                      </w:r>
                    </w:p>
                  </w:txbxContent>
                </v:textbox>
              </v:shape>
            </w:pict>
          </mc:Fallback>
        </mc:AlternateContent>
      </w:r>
      <w:r>
        <w:rPr>
          <w:sz w:val="21"/>
        </w:rPr>
        <mc:AlternateContent>
          <mc:Choice Requires="wpg">
            <w:drawing>
              <wp:anchor distT="0" distB="0" distL="114300" distR="114300" simplePos="0" relativeHeight="251670528" behindDoc="0" locked="0" layoutInCell="1" allowOverlap="1">
                <wp:simplePos x="0" y="0"/>
                <wp:positionH relativeFrom="column">
                  <wp:posOffset>7747635</wp:posOffset>
                </wp:positionH>
                <wp:positionV relativeFrom="paragraph">
                  <wp:posOffset>2318385</wp:posOffset>
                </wp:positionV>
                <wp:extent cx="1203960" cy="1584960"/>
                <wp:effectExtent l="6350" t="6350" r="8890" b="8890"/>
                <wp:wrapNone/>
                <wp:docPr id="76" name="组合 76"/>
                <wp:cNvGraphicFramePr/>
                <a:graphic xmlns:a="http://schemas.openxmlformats.org/drawingml/2006/main">
                  <a:graphicData uri="http://schemas.microsoft.com/office/word/2010/wordprocessingGroup">
                    <wpg:wgp>
                      <wpg:cNvGrpSpPr/>
                      <wpg:grpSpPr>
                        <a:xfrm>
                          <a:off x="0" y="0"/>
                          <a:ext cx="1203960" cy="1584960"/>
                          <a:chOff x="14862" y="1184534"/>
                          <a:chExt cx="1896" cy="2496"/>
                        </a:xfrm>
                      </wpg:grpSpPr>
                      <wps:wsp>
                        <wps:cNvPr id="66" name="矩形 66"/>
                        <wps:cNvSpPr/>
                        <wps:spPr>
                          <a:xfrm>
                            <a:off x="14862" y="1184534"/>
                            <a:ext cx="1896" cy="2496"/>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矩形 67"/>
                        <wps:cNvSpPr/>
                        <wps:spPr>
                          <a:xfrm>
                            <a:off x="15280" y="1184542"/>
                            <a:ext cx="1281" cy="44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C412124">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同心圆 68"/>
                        <wps:cNvSpPr/>
                        <wps:spPr>
                          <a:xfrm>
                            <a:off x="14911" y="1184993"/>
                            <a:ext cx="228" cy="213"/>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14987" y="1184878"/>
                            <a:ext cx="1281"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FAB65E">
                              <w:pPr>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有组织排气筒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rot="16200000">
                            <a:off x="15007" y="1185336"/>
                            <a:ext cx="214" cy="478"/>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15215" y="1185338"/>
                            <a:ext cx="1281"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46A80D0">
                              <w:pPr>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低氮燃烧机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rot="5400000">
                            <a:off x="15006" y="1185810"/>
                            <a:ext cx="214" cy="478"/>
                          </a:xfrm>
                          <a:prstGeom prst="rect">
                            <a:avLst/>
                          </a:prstGeom>
                          <a:solidFill>
                            <a:srgbClr val="FFC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矩形 73"/>
                        <wps:cNvSpPr/>
                        <wps:spPr>
                          <a:xfrm>
                            <a:off x="15215" y="1185800"/>
                            <a:ext cx="1281" cy="76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4E96FAE">
                              <w:pPr>
                                <w:spacing w:line="240" w:lineRule="auto"/>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旋风除尘+布袋+沉降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矩形 74"/>
                        <wps:cNvSpPr/>
                        <wps:spPr>
                          <a:xfrm rot="5400000">
                            <a:off x="15025" y="1186375"/>
                            <a:ext cx="214" cy="478"/>
                          </a:xfrm>
                          <a:prstGeom prst="rect">
                            <a:avLst/>
                          </a:prstGeom>
                          <a:solidFill>
                            <a:srgbClr val="00B05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矩形 75"/>
                        <wps:cNvSpPr/>
                        <wps:spPr>
                          <a:xfrm>
                            <a:off x="15217" y="1186370"/>
                            <a:ext cx="1485" cy="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74C5489">
                              <w:pPr>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一体化生物滤池</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10.05pt;margin-top:182.55pt;height:124.8pt;width:94.8pt;z-index:251670528;mso-width-relative:page;mso-height-relative:page;" coordorigin="14862,1184534" coordsize="1896,2496" o:gfxdata="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E5ig7NwAAAANAQAADwAAAAAAAAABACAAAAAiAAAAZHJz&#10;L2Rvd25yZXYueG1sUEsBAhQAFAAAAAgAh07iQNzGp/HlBAAAMSEAAA4AAAAAAAAAAQAgAAAAKwEA&#10;AGRycy9lMm9Eb2MueG1sUEsFBgAAAAAGAAYAWQEAAIIIAAAAAA==&#10;">
                <o:lock v:ext="edit" aspectratio="f"/>
                <v:rect id="_x0000_s1026" o:spid="_x0000_s1026" o:spt="1" style="position:absolute;left:14862;top:1184534;height:2496;width:1896;v-text-anchor:middle;" filled="f" stroked="t" coordsize="21600,21600" o:gfxdata="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9CP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rect id="_x0000_s1026" o:spid="_x0000_s1026" o:spt="1" style="position:absolute;left:15280;top:1184542;height:441;width:1281;v-text-anchor:middle;" filled="f" stroked="f" coordsize="21600,21600" o:gfxdata="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Kxu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5C412124">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txbxContent>
                  </v:textbox>
                </v:rect>
                <v:shape id="_x0000_s1026" o:spid="_x0000_s1026" o:spt="23" type="#_x0000_t23" style="position:absolute;left:14911;top:1184993;height:213;width:228;v-text-anchor:middle;" fillcolor="#FF0000" filled="t" stroked="t" coordsize="21600,21600" o:gfxdata="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VlkW5AAAA2wAA&#10;AA8AAAAAAAAAAQAgAAAAIgAAAGRycy9kb3ducmV2LnhtbFBLAQIUABQAAAAIAIdO4kAzLwWeOwAA&#10;ADkAAAAQAAAAAAAAAAEAIAAAAAgBAABkcnMvc2hhcGV4bWwueG1sUEsFBgAAAAAGAAYAWwEAALID&#10;AAAAAA==&#10;" adj="5044">
                  <v:fill on="t" focussize="0,0"/>
                  <v:stroke weight="1pt" color="#000000 [3213]" miterlimit="8" joinstyle="miter"/>
                  <v:imagedata o:title=""/>
                  <o:lock v:ext="edit" aspectratio="f"/>
                </v:shape>
                <v:rect id="_x0000_s1026" o:spid="_x0000_s1026" o:spt="1" style="position:absolute;left:14987;top:1184878;height:400;width:1281;v-text-anchor:middle;" filled="f" stroked="f" coordsize="21600,21600" o:gfxdata="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bnY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2CFAB65E">
                        <w:pPr>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有组织排气筒</w:t>
                        </w:r>
                      </w:p>
                    </w:txbxContent>
                  </v:textbox>
                </v:rect>
                <v:rect id="_x0000_s1026" o:spid="_x0000_s1026" o:spt="1" style="position:absolute;left:15007;top:1185336;height:478;width:214;rotation:-5898240f;v-text-anchor:middle;" fillcolor="#5B9BD5 [3204]" filled="t" stroked="t" coordsize="21600,21600" o:gfxdata="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iWd1rgAAADbAAAA&#10;DwAAAAAAAAABACAAAAAiAAAAZHJzL2Rvd25yZXYueG1sUEsBAhQAFAAAAAgAh07iQDMvBZ47AAAA&#10;OQAAABAAAAAAAAAAAQAgAAAABwEAAGRycy9zaGFwZXhtbC54bWxQSwUGAAAAAAYABgBbAQAAsQMA&#10;AAAA&#10;">
                  <v:fill on="t" focussize="0,0"/>
                  <v:stroke weight="1pt" color="#2E75B6 [2404]" miterlimit="8" joinstyle="miter"/>
                  <v:imagedata o:title=""/>
                  <o:lock v:ext="edit" aspectratio="f"/>
                </v:rect>
                <v:rect id="_x0000_s1026" o:spid="_x0000_s1026" o:spt="1" style="position:absolute;left:15215;top:1185338;height:400;width:1281;v-text-anchor:middle;" filled="f" stroked="f" coordsize="21600,21600" o:gfxdata="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0B1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746A80D0">
                        <w:pPr>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低氮燃烧机</w:t>
                        </w:r>
                      </w:p>
                    </w:txbxContent>
                  </v:textbox>
                </v:rect>
                <v:rect id="_x0000_s1026" o:spid="_x0000_s1026" o:spt="1" style="position:absolute;left:15006;top:1185810;height:478;width:214;rotation:5898240f;v-text-anchor:middle;" fillcolor="#FFC000" filled="t" stroked="t" coordsize="21600,21600" o:gfxdata="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XyM7gAAADbAAAA&#10;DwAAAAAAAAABACAAAAAiAAAAZHJzL2Rvd25yZXYueG1sUEsBAhQAFAAAAAgAh07iQDMvBZ47AAAA&#10;OQAAABAAAAAAAAAAAQAgAAAABwEAAGRycy9zaGFwZXhtbC54bWxQSwUGAAAAAAYABgBbAQAAsQMA&#10;AAAA&#10;">
                  <v:fill on="t" focussize="0,0"/>
                  <v:stroke weight="1pt" color="#2E75B6 [2404]" miterlimit="8" joinstyle="miter"/>
                  <v:imagedata o:title=""/>
                  <o:lock v:ext="edit" aspectratio="f"/>
                </v:rect>
                <v:rect id="_x0000_s1026" o:spid="_x0000_s1026" o:spt="1" style="position:absolute;left:15215;top:1185800;height:766;width:1281;" filled="f" stroked="f" coordsize="21600,21600" o:gfxdata="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Jba74A&#10;AADb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14:paraId="74E96FAE">
                        <w:pPr>
                          <w:spacing w:line="240" w:lineRule="auto"/>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旋风除尘+布袋+沉降</w:t>
                        </w:r>
                      </w:p>
                    </w:txbxContent>
                  </v:textbox>
                </v:rect>
                <v:rect id="_x0000_s1026" o:spid="_x0000_s1026" o:spt="1" style="position:absolute;left:15025;top:1186375;height:478;width:214;rotation:5898240f;v-text-anchor:middle;" fillcolor="#00B050" filled="t" stroked="t" coordsize="21600,21600" o:gfxdata="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Q0RvQAA&#10;ANsAAAAPAAAAAAAAAAEAIAAAACIAAABkcnMvZG93bnJldi54bWxQSwECFAAUAAAACACHTuJAMy8F&#10;njsAAAA5AAAAEAAAAAAAAAABACAAAAAMAQAAZHJzL3NoYXBleG1sLnhtbFBLBQYAAAAABgAGAFsB&#10;AAC2AwAAAAA=&#10;">
                  <v:fill on="t" focussize="0,0"/>
                  <v:stroke weight="1pt" color="#2E75B6 [2404]" miterlimit="8" joinstyle="miter"/>
                  <v:imagedata o:title=""/>
                  <o:lock v:ext="edit" aspectratio="f"/>
                </v:rect>
                <v:rect id="_x0000_s1026" o:spid="_x0000_s1026" o:spt="1" style="position:absolute;left:15217;top:1186370;height:400;width:1485;v-text-anchor:middle;" filled="f" stroked="f" coordsize="21600,21600" o:gfxdata="UEsDBAoAAAAAAIdO4kAAAAAAAAAAAAAAAAAEAAAAZHJzL1BLAwQUAAAACACHTuJAzk8BX7sAAADb&#10;AAAADwAAAGRycy9kb3ducmV2LnhtbEWPQWsCMRSE74X+h/AK3mpWw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8BX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374C5489">
                        <w:pPr>
                          <w:jc w:val="center"/>
                          <w:rPr>
                            <w:rFonts w:hint="default"/>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一体化生物滤池</w:t>
                        </w:r>
                      </w:p>
                    </w:txbxContent>
                  </v:textbox>
                </v:rect>
              </v:group>
            </w:pict>
          </mc:Fallback>
        </mc:AlternateContent>
      </w:r>
      <w:r>
        <w:rPr>
          <w:sz w:val="21"/>
        </w:rPr>
        <mc:AlternateContent>
          <mc:Choice Requires="wpg">
            <w:drawing>
              <wp:anchor distT="0" distB="0" distL="114300" distR="114300" simplePos="0" relativeHeight="251671552" behindDoc="0" locked="0" layoutInCell="1" allowOverlap="1">
                <wp:simplePos x="0" y="0"/>
                <wp:positionH relativeFrom="column">
                  <wp:posOffset>59055</wp:posOffset>
                </wp:positionH>
                <wp:positionV relativeFrom="paragraph">
                  <wp:posOffset>-10795</wp:posOffset>
                </wp:positionV>
                <wp:extent cx="8966835" cy="5107940"/>
                <wp:effectExtent l="9525" t="9525" r="15240" b="26035"/>
                <wp:wrapNone/>
                <wp:docPr id="77" name="组合 77"/>
                <wp:cNvGraphicFramePr/>
                <a:graphic xmlns:a="http://schemas.openxmlformats.org/drawingml/2006/main">
                  <a:graphicData uri="http://schemas.microsoft.com/office/word/2010/wordprocessingGroup">
                    <wpg:wgp>
                      <wpg:cNvGrpSpPr/>
                      <wpg:grpSpPr>
                        <a:xfrm>
                          <a:off x="0" y="0"/>
                          <a:ext cx="8966835" cy="5107940"/>
                          <a:chOff x="2754" y="1180866"/>
                          <a:chExt cx="14121" cy="8044"/>
                        </a:xfrm>
                      </wpg:grpSpPr>
                      <wpg:grpSp>
                        <wpg:cNvPr id="62" name="组合 62"/>
                        <wpg:cNvGrpSpPr/>
                        <wpg:grpSpPr>
                          <a:xfrm>
                            <a:off x="3928" y="1180905"/>
                            <a:ext cx="12781" cy="7778"/>
                            <a:chOff x="3083" y="1180905"/>
                            <a:chExt cx="12781" cy="7778"/>
                          </a:xfrm>
                        </wpg:grpSpPr>
                        <wps:wsp>
                          <wps:cNvPr id="10" name="任意多边形 10"/>
                          <wps:cNvSpPr/>
                          <wps:spPr>
                            <a:xfrm>
                              <a:off x="4002" y="1181105"/>
                              <a:ext cx="9588" cy="4800"/>
                            </a:xfrm>
                            <a:custGeom>
                              <a:avLst/>
                              <a:gdLst>
                                <a:gd name="connisteX0" fmla="*/ 0 w 6641465"/>
                                <a:gd name="connsiteY0" fmla="*/ 25400 h 3688715"/>
                                <a:gd name="connisteX1" fmla="*/ 6641465 w 6641465"/>
                                <a:gd name="connsiteY1" fmla="*/ 0 h 3688715"/>
                                <a:gd name="connisteX2" fmla="*/ 6641465 w 6641465"/>
                                <a:gd name="connsiteY2" fmla="*/ 3679825 h 3688715"/>
                                <a:gd name="connisteX3" fmla="*/ 3359785 w 6641465"/>
                                <a:gd name="connsiteY3" fmla="*/ 3688715 h 3688715"/>
                                <a:gd name="connisteX4" fmla="*/ 3350895 w 6641465"/>
                                <a:gd name="connsiteY4" fmla="*/ 1878965 h 3688715"/>
                                <a:gd name="connisteX5" fmla="*/ 26035 w 6641465"/>
                                <a:gd name="connsiteY5" fmla="*/ 1886585 h 3688715"/>
                                <a:gd name="connisteX6" fmla="*/ 0 w 6641465"/>
                                <a:gd name="connsiteY6" fmla="*/ 25400 h 36887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641465" h="3688715">
                                  <a:moveTo>
                                    <a:pt x="0" y="25400"/>
                                  </a:moveTo>
                                  <a:lnTo>
                                    <a:pt x="6641465" y="0"/>
                                  </a:lnTo>
                                  <a:lnTo>
                                    <a:pt x="6641465" y="3679825"/>
                                  </a:lnTo>
                                  <a:lnTo>
                                    <a:pt x="3359785" y="3688715"/>
                                  </a:lnTo>
                                  <a:lnTo>
                                    <a:pt x="3350895" y="1878965"/>
                                  </a:lnTo>
                                  <a:lnTo>
                                    <a:pt x="26035" y="1886585"/>
                                  </a:lnTo>
                                  <a:lnTo>
                                    <a:pt x="0" y="25400"/>
                                  </a:lnTo>
                                  <a:close/>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wps:wsp>
                          <wps:cNvPr id="20" name="矩形 20"/>
                          <wps:cNvSpPr/>
                          <wps:spPr>
                            <a:xfrm>
                              <a:off x="9115" y="1182060"/>
                              <a:ext cx="1773" cy="682"/>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4769191">
                                <w:pPr>
                                  <w:jc w:val="both"/>
                                  <w:rPr>
                                    <w:rFonts w:hint="default"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7520" y="1187234"/>
                              <a:ext cx="8344" cy="1432"/>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2949A1F4">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发酵车间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矩形 37"/>
                          <wps:cNvSpPr/>
                          <wps:spPr>
                            <a:xfrm>
                              <a:off x="3761" y="1181956"/>
                              <a:ext cx="409" cy="10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190DB42">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车间门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肘形连接符 40"/>
                          <wps:cNvCnPr/>
                          <wps:spPr>
                            <a:xfrm rot="5400000" flipV="1">
                              <a:off x="1419" y="1182569"/>
                              <a:ext cx="7759" cy="4431"/>
                            </a:xfrm>
                            <a:prstGeom prst="bentConnector3">
                              <a:avLst>
                                <a:gd name="adj1" fmla="val 81814"/>
                              </a:avLst>
                            </a:prstGeom>
                          </wps:spPr>
                          <wps:style>
                            <a:lnRef idx="2">
                              <a:schemeClr val="accent1"/>
                            </a:lnRef>
                            <a:fillRef idx="0">
                              <a:srgbClr val="FFFFFF"/>
                            </a:fillRef>
                            <a:effectRef idx="0">
                              <a:srgbClr val="FFFFFF"/>
                            </a:effectRef>
                            <a:fontRef idx="minor">
                              <a:schemeClr val="tx1"/>
                            </a:fontRef>
                          </wps:style>
                          <wps:bodyPr/>
                        </wps:wsp>
                        <wps:wsp>
                          <wps:cNvPr id="43" name="直接连接符 43"/>
                          <wps:cNvCnPr/>
                          <wps:spPr>
                            <a:xfrm>
                              <a:off x="3763" y="1186607"/>
                              <a:ext cx="10146" cy="0"/>
                            </a:xfrm>
                            <a:prstGeom prst="line">
                              <a:avLst/>
                            </a:prstGeom>
                            <a:ln w="12700" cmpd="sng">
                              <a:solidFill>
                                <a:schemeClr val="accent1">
                                  <a:shade val="50000"/>
                                </a:schemeClr>
                              </a:solidFill>
                              <a:prstDash val="dashDot"/>
                            </a:ln>
                          </wps:spPr>
                          <wps:style>
                            <a:lnRef idx="2">
                              <a:schemeClr val="accent1"/>
                            </a:lnRef>
                            <a:fillRef idx="0">
                              <a:srgbClr val="FFFFFF"/>
                            </a:fillRef>
                            <a:effectRef idx="0">
                              <a:srgbClr val="FFFFFF"/>
                            </a:effectRef>
                            <a:fontRef idx="minor">
                              <a:schemeClr val="tx1"/>
                            </a:fontRef>
                          </wps:style>
                          <wps:bodyPr/>
                        </wps:wsp>
                        <wps:wsp>
                          <wps:cNvPr id="44" name="直接连接符 44"/>
                          <wps:cNvCnPr/>
                          <wps:spPr>
                            <a:xfrm flipV="1">
                              <a:off x="3477" y="1180975"/>
                              <a:ext cx="13" cy="5632"/>
                            </a:xfrm>
                            <a:prstGeom prst="line">
                              <a:avLst/>
                            </a:prstGeom>
                            <a:ln w="12700" cmpd="sng">
                              <a:solidFill>
                                <a:schemeClr val="accent1">
                                  <a:shade val="50000"/>
                                </a:schemeClr>
                              </a:solidFill>
                              <a:prstDash val="dashDot"/>
                            </a:ln>
                          </wps:spPr>
                          <wps:style>
                            <a:lnRef idx="2">
                              <a:schemeClr val="accent1"/>
                            </a:lnRef>
                            <a:fillRef idx="0">
                              <a:srgbClr val="FFFFFF"/>
                            </a:fillRef>
                            <a:effectRef idx="0">
                              <a:srgbClr val="FFFFFF"/>
                            </a:effectRef>
                            <a:fontRef idx="minor">
                              <a:schemeClr val="tx1"/>
                            </a:fontRef>
                          </wps:style>
                          <wps:bodyPr/>
                        </wps:wsp>
                        <wps:wsp>
                          <wps:cNvPr id="45" name="矩形 45"/>
                          <wps:cNvSpPr/>
                          <wps:spPr>
                            <a:xfrm>
                              <a:off x="9517" y="1186948"/>
                              <a:ext cx="1281" cy="481"/>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38FAD79">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车间门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6327" y="1186281"/>
                              <a:ext cx="3545" cy="411"/>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892FB01">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     区    内    内     部     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47"/>
                          <wps:cNvSpPr/>
                          <wps:spPr>
                            <a:xfrm>
                              <a:off x="3340" y="1186923"/>
                              <a:ext cx="4186" cy="1758"/>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0AF4F23F">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原料棚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同心圆 49"/>
                          <wps:cNvSpPr/>
                          <wps:spPr>
                            <a:xfrm>
                              <a:off x="9190" y="1184889"/>
                              <a:ext cx="228" cy="213"/>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9190" y="1184386"/>
                              <a:ext cx="214" cy="478"/>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同心圆 52"/>
                          <wps:cNvSpPr/>
                          <wps:spPr>
                            <a:xfrm>
                              <a:off x="10575" y="1188470"/>
                              <a:ext cx="228" cy="213"/>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矩形 53"/>
                          <wps:cNvSpPr/>
                          <wps:spPr>
                            <a:xfrm rot="5400000">
                              <a:off x="10953" y="1188303"/>
                              <a:ext cx="214" cy="478"/>
                            </a:xfrm>
                            <a:prstGeom prst="rect">
                              <a:avLst/>
                            </a:prstGeom>
                            <a:solidFill>
                              <a:srgbClr val="00B05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同心圆 58"/>
                          <wps:cNvSpPr/>
                          <wps:spPr>
                            <a:xfrm>
                              <a:off x="8734" y="1182729"/>
                              <a:ext cx="228" cy="213"/>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rot="5400000">
                              <a:off x="8357" y="1182598"/>
                              <a:ext cx="214" cy="478"/>
                            </a:xfrm>
                            <a:prstGeom prst="rect">
                              <a:avLst/>
                            </a:prstGeom>
                            <a:solidFill>
                              <a:srgbClr val="FFC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4008" y="1183661"/>
                              <a:ext cx="4555" cy="2168"/>
                            </a:xfrm>
                            <a:prstGeom prst="rect">
                              <a:avLst/>
                            </a:prstGeom>
                            <a:solidFill>
                              <a:schemeClr val="bg1">
                                <a:lumMod val="75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21552CAE">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租赁厂区内的废弃设施</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3" name="矩形 63"/>
                        <wps:cNvSpPr/>
                        <wps:spPr>
                          <a:xfrm>
                            <a:off x="2754" y="1180866"/>
                            <a:ext cx="14113" cy="8045"/>
                          </a:xfrm>
                          <a:prstGeom prst="rect">
                            <a:avLst/>
                          </a:pr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4" name="图片 25"/>
                          <pic:cNvPicPr>
                            <a:picLocks noChangeAspect="1"/>
                          </pic:cNvPicPr>
                        </pic:nvPicPr>
                        <pic:blipFill>
                          <a:blip r:embed="rId44"/>
                          <a:stretch>
                            <a:fillRect/>
                          </a:stretch>
                        </pic:blipFill>
                        <pic:spPr>
                          <a:xfrm>
                            <a:off x="15305" y="1180906"/>
                            <a:ext cx="1571" cy="1596"/>
                          </a:xfrm>
                          <a:prstGeom prst="rect">
                            <a:avLst/>
                          </a:prstGeom>
                          <a:noFill/>
                          <a:ln w="9525" cap="flat" cmpd="sng">
                            <a:solidFill>
                              <a:srgbClr val="000000"/>
                            </a:solidFill>
                            <a:prstDash val="solid"/>
                            <a:miter/>
                            <a:headEnd type="none" w="med" len="med"/>
                            <a:tailEnd type="none" w="med" len="med"/>
                          </a:ln>
                        </pic:spPr>
                      </pic:pic>
                    </wpg:wgp>
                  </a:graphicData>
                </a:graphic>
              </wp:anchor>
            </w:drawing>
          </mc:Choice>
          <mc:Fallback>
            <w:pict>
              <v:group id="_x0000_s1026" o:spid="_x0000_s1026" o:spt="203" style="position:absolute;left:0pt;margin-left:4.65pt;margin-top:-0.85pt;height:402.2pt;width:706.05pt;z-index:251671552;mso-width-relative:page;mso-height-relative:page;" coordorigin="2754,1180866" coordsize="14121,8044" o:gfxdata="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">
                <o:lock v:ext="edit" aspectratio="f"/>
                <v:group id="_x0000_s1026" o:spid="_x0000_s1026" o:spt="203" style="position:absolute;left:3928;top:1180905;height:7778;width:12781;" coordorigin="3083,1180905" coordsize="12781,7778"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4002;top:1181105;height:4800;width:9588;" filled="f" stroked="t" coordsize="6641465,3688715" o:gfxdata="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AOIq8AAAA&#10;2wAAAA8AAAAAAAAAAQAgAAAAIgAAAGRycy9kb3ducmV2LnhtbFBLAQIUABQAAAAIAIdO4kAzLwWe&#10;OwAAADkAAAAQAAAAAAAAAAEAIAAAAAsBAABkcnMvc2hhcGV4bWwueG1sUEsFBgAAAAAGAAYAWwEA&#10;ALUDAAAAAA==&#10;" path="m0,25400l6641465,0,6641465,3679825,3359785,3688715,3350895,1878965,26035,1886585,0,25400xe">
                    <v:path o:connectlocs="0,33;9588,0;9588,4788;4850,4800;4837,2445;37,2454;0,33" o:connectangles="0,0,0,0,0,0,0"/>
                    <v:fill on="f" focussize="0,0"/>
                    <v:stroke weight="1pt" color="#2E75B6 [2404]" miterlimit="8" joinstyle="miter"/>
                    <v:imagedata o:title=""/>
                    <o:lock v:ext="edit" aspectratio="f"/>
                  </v:shape>
                  <v:rect id="_x0000_s1026" o:spid="_x0000_s1026" o:spt="1" style="position:absolute;left:9115;top:1182060;height:682;width:1773;v-text-anchor:middle;" filled="f" stroked="f" coordsize="21600,21600" o:gfxdata="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YuN2r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14:paraId="74769191">
                          <w:pPr>
                            <w:jc w:val="both"/>
                            <w:rPr>
                              <w:rFonts w:hint="default"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生产车间</w:t>
                          </w:r>
                        </w:p>
                      </w:txbxContent>
                    </v:textbox>
                  </v:rect>
                  <v:rect id="_x0000_s1026" o:spid="_x0000_s1026" o:spt="1" style="position:absolute;left:7520;top:1187234;height:1432;width:8344;v-text-anchor:middle;" filled="f" stroked="t" coordsize="21600,21600" o:gfxdata="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LZ4m5AAAA2wAA&#10;AA8AAAAAAAAAAQAgAAAAIgAAAGRycy9kb3ducmV2LnhtbFBLAQIUABQAAAAIAIdO4kAzLwWeOwAA&#10;ADkAAAAQAAAAAAAAAAEAIAAAAAgBAABkcnMvc2hhcGV4bWwueG1sUEsFBgAAAAAGAAYAWwEAALID&#10;AAAAAA==&#10;">
                    <v:fill on="f" focussize="0,0"/>
                    <v:stroke weight="1pt" color="#2E75B6 [2404]" miterlimit="8" joinstyle="miter"/>
                    <v:imagedata o:title=""/>
                    <o:lock v:ext="edit" aspectratio="f"/>
                    <v:textbox>
                      <w:txbxContent>
                        <w:p w14:paraId="2949A1F4">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发酵车间</w:t>
                          </w:r>
                        </w:p>
                      </w:txbxContent>
                    </v:textbox>
                  </v:rect>
                  <v:rect id="_x0000_s1026" o:spid="_x0000_s1026" o:spt="1" style="position:absolute;left:3761;top:1181956;height:1062;width:409;v-text-anchor:middle;" fillcolor="#FFFFFF [3212]" filled="t" stroked="f" coordsize="21600,21600" o:gfxdata="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z3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190DB42">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车间门</w:t>
                          </w:r>
                        </w:p>
                      </w:txbxContent>
                    </v:textbox>
                  </v:rect>
                  <v:shape id="_x0000_s1026" o:spid="_x0000_s1026" o:spt="34" type="#_x0000_t34" style="position:absolute;left:1419;top:1182569;flip:y;height:4431;width:7759;rotation:-5898240f;" filled="f" stroked="t" coordsize="21600,21600" o:gfxdata="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03q7sAAADb&#10;AAAADwAAAAAAAAABACAAAAAiAAAAZHJzL2Rvd25yZXYueG1sUEsBAhQAFAAAAAgAh07iQDMvBZ47&#10;AAAAOQAAABAAAAAAAAAAAQAgAAAACgEAAGRycy9zaGFwZXhtbC54bWxQSwUGAAAAAAYABgBbAQAA&#10;tAMAAAAA&#10;" adj="17672">
                    <v:fill on="f" focussize="0,0"/>
                    <v:stroke weight="1pt" color="#5B9BD5 [3204]" miterlimit="8" joinstyle="miter"/>
                    <v:imagedata o:title=""/>
                    <o:lock v:ext="edit" aspectratio="f"/>
                  </v:shape>
                  <v:line id="_x0000_s1026" o:spid="_x0000_s1026" o:spt="20" style="position:absolute;left:3763;top:1186607;height:0;width:10146;" filled="f" stroked="t" coordsize="21600,21600" o:gfxdata="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zO6b4A&#10;AADbAAAADwAAAAAAAAABACAAAAAiAAAAZHJzL2Rvd25yZXYueG1sUEsBAhQAFAAAAAgAh07iQDMv&#10;BZ47AAAAOQAAABAAAAAAAAAAAQAgAAAADQEAAGRycy9zaGFwZXhtbC54bWxQSwUGAAAAAAYABgBb&#10;AQAAtwMAAAAA&#10;">
                    <v:fill on="f" focussize="0,0"/>
                    <v:stroke weight="1pt" color="#41719C [3204]" miterlimit="8" joinstyle="miter" dashstyle="dashDot"/>
                    <v:imagedata o:title=""/>
                    <o:lock v:ext="edit" aspectratio="f"/>
                  </v:line>
                  <v:line id="_x0000_s1026" o:spid="_x0000_s1026" o:spt="20" style="position:absolute;left:3477;top:1180975;flip:y;height:5632;width:13;" filled="f" stroked="t" coordsize="21600,21600" o:gfxdata="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D9d0ugAAANsA&#10;AAAPAAAAAAAAAAEAIAAAACIAAABkcnMvZG93bnJldi54bWxQSwECFAAUAAAACACHTuJAMy8FnjsA&#10;AAA5AAAAEAAAAAAAAAABACAAAAAJAQAAZHJzL3NoYXBleG1sLnhtbFBLBQYAAAAABgAGAFsBAACz&#10;AwAAAAA=&#10;">
                    <v:fill on="f" focussize="0,0"/>
                    <v:stroke weight="1pt" color="#41719C [3204]" miterlimit="8" joinstyle="miter" dashstyle="dashDot"/>
                    <v:imagedata o:title=""/>
                    <o:lock v:ext="edit" aspectratio="f"/>
                  </v:line>
                  <v:rect id="_x0000_s1026" o:spid="_x0000_s1026" o:spt="1" style="position:absolute;left:9517;top:1186948;height:481;width:1281;v-text-anchor:middle;" fillcolor="#FFFFFF [3212]" filled="t" stroked="f" coordsize="21600,21600" o:gfxdata="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Q7T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38FAD79">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车间门</w:t>
                          </w:r>
                        </w:p>
                      </w:txbxContent>
                    </v:textbox>
                  </v:rect>
                  <v:rect id="_x0000_s1026" o:spid="_x0000_s1026" o:spt="1" style="position:absolute;left:6327;top:1186281;height:411;width:3545;v-text-anchor:middle;" filled="f" stroked="f" coordsize="21600,21600" o:gfxdata="UEsDBAoAAAAAAIdO4kAAAAAAAAAAAAAAAAAEAAAAZHJzL1BLAwQUAAAACACHTuJA8PFVlb0AAADb&#10;AAAADwAAAGRycy9kb3ducmV2LnhtbEWPwWrDMBBE74X8g9hAb42cUkx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VWV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0892FB01">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     区    内    内     部     道     路</w:t>
                          </w:r>
                        </w:p>
                      </w:txbxContent>
                    </v:textbox>
                  </v:rect>
                  <v:rect id="_x0000_s1026" o:spid="_x0000_s1026" o:spt="1" style="position:absolute;left:3340;top:1186923;height:1758;width:4186;v-text-anchor:middle;" fillcolor="#FFFFFF [3212]" filled="t" stroked="t" coordsize="21600,21600" o:gfxdata="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NQtvQAA&#10;ANsAAAAPAAAAAAAAAAEAIAAAACIAAABkcnMvZG93bnJldi54bWxQSwECFAAUAAAACACHTuJAMy8F&#10;njsAAAA5AAAAEAAAAAAAAAABACAAAAAMAQAAZHJzL3NoYXBleG1sLnhtbFBLBQYAAAAABgAGAFsB&#10;AAC2AwAAAAA=&#10;">
                    <v:fill on="t" focussize="0,0"/>
                    <v:stroke weight="1pt" color="#2E75B6 [2404]" miterlimit="8" joinstyle="miter"/>
                    <v:imagedata o:title=""/>
                    <o:lock v:ext="edit" aspectratio="f"/>
                    <v:textbox>
                      <w:txbxContent>
                        <w:p w14:paraId="0AF4F23F">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原料棚</w:t>
                          </w:r>
                        </w:p>
                      </w:txbxContent>
                    </v:textbox>
                  </v:rect>
                  <v:shape id="_x0000_s1026" o:spid="_x0000_s1026" o:spt="23" type="#_x0000_t23" style="position:absolute;left:9190;top:1184889;height:213;width:228;v-text-anchor:middle;" fillcolor="#FF0000" filled="t" stroked="t" coordsize="21600,21600" o:gfxdata="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LG++vQAA&#10;ANsAAAAPAAAAAAAAAAEAIAAAACIAAABkcnMvZG93bnJldi54bWxQSwECFAAUAAAACACHTuJAMy8F&#10;njsAAAA5AAAAEAAAAAAAAAABACAAAAAMAQAAZHJzL3NoYXBleG1sLnhtbFBLBQYAAAAABgAGAFsB&#10;AAC2AwAAAAA=&#10;" adj="5044">
                    <v:fill on="t" focussize="0,0"/>
                    <v:stroke weight="1pt" color="#000000 [3213]" miterlimit="8" joinstyle="miter"/>
                    <v:imagedata o:title=""/>
                    <o:lock v:ext="edit" aspectratio="f"/>
                  </v:shape>
                  <v:rect id="_x0000_s1026" o:spid="_x0000_s1026" o:spt="1" style="position:absolute;left:9190;top:1184386;height:478;width:214;v-text-anchor:middle;" fillcolor="#5B9BD5 [3204]" filled="t" stroked="t" coordsize="21600,21600" o:gfxdata="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Hhi25AAAA2wAA&#10;AA8AAAAAAAAAAQAgAAAAIgAAAGRycy9kb3ducmV2LnhtbFBLAQIUABQAAAAIAIdO4kAzLwWeOwAA&#10;ADkAAAAQAAAAAAAAAAEAIAAAAAgBAABkcnMvc2hhcGV4bWwueG1sUEsFBgAAAAAGAAYAWwEAALID&#10;AAAAAA==&#10;">
                    <v:fill on="t" focussize="0,0"/>
                    <v:stroke weight="1pt" color="#2E75B6 [2404]" miterlimit="8" joinstyle="miter"/>
                    <v:imagedata o:title=""/>
                    <o:lock v:ext="edit" aspectratio="f"/>
                  </v:rect>
                  <v:shape id="_x0000_s1026" o:spid="_x0000_s1026" o:spt="23" type="#_x0000_t23" style="position:absolute;left:10575;top:1188470;height:213;width:228;v-text-anchor:middle;" fillcolor="#FF0000" filled="t" stroked="t" coordsize="21600,21600" o:gfxdata="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RaxK8AAAA&#10;2wAAAA8AAAAAAAAAAQAgAAAAIgAAAGRycy9kb3ducmV2LnhtbFBLAQIUABQAAAAIAIdO4kAzLwWe&#10;OwAAADkAAAAQAAAAAAAAAAEAIAAAAAsBAABkcnMvc2hhcGV4bWwueG1sUEsFBgAAAAAGAAYAWwEA&#10;ALUDAAAAAA==&#10;" adj="5044">
                    <v:fill on="t" focussize="0,0"/>
                    <v:stroke weight="1pt" color="#000000 [3213]" miterlimit="8" joinstyle="miter"/>
                    <v:imagedata o:title=""/>
                    <o:lock v:ext="edit" aspectratio="f"/>
                  </v:shape>
                  <v:rect id="_x0000_s1026" o:spid="_x0000_s1026" o:spt="1" style="position:absolute;left:10953;top:1188303;height:478;width:214;rotation:5898240f;v-text-anchor:middle;" fillcolor="#00B050" filled="t" stroked="t" coordsize="21600,21600" o:gfxdata="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ckFvQAA&#10;ANsAAAAPAAAAAAAAAAEAIAAAACIAAABkcnMvZG93bnJldi54bWxQSwECFAAUAAAACACHTuJAMy8F&#10;njsAAAA5AAAAEAAAAAAAAAABACAAAAAMAQAAZHJzL3NoYXBleG1sLnhtbFBLBQYAAAAABgAGAFsB&#10;AAC2AwAAAAA=&#10;">
                    <v:fill on="t" focussize="0,0"/>
                    <v:stroke weight="1pt" color="#2E75B6 [2404]" miterlimit="8" joinstyle="miter"/>
                    <v:imagedata o:title=""/>
                    <o:lock v:ext="edit" aspectratio="f"/>
                  </v:rect>
                  <v:shape id="_x0000_s1026" o:spid="_x0000_s1026" o:spt="23" type="#_x0000_t23" style="position:absolute;left:8734;top:1182729;height:213;width:228;v-text-anchor:middle;" fillcolor="#FF0000" filled="t" stroked="t" coordsize="21600,21600" o:gfxdata="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5XPi5AAAA2wAA&#10;AA8AAAAAAAAAAQAgAAAAIgAAAGRycy9kb3ducmV2LnhtbFBLAQIUABQAAAAIAIdO4kAzLwWeOwAA&#10;ADkAAAAQAAAAAAAAAAEAIAAAAAgBAABkcnMvc2hhcGV4bWwueG1sUEsFBgAAAAAGAAYAWwEAALID&#10;AAAAAA==&#10;" adj="5044">
                    <v:fill on="t" focussize="0,0"/>
                    <v:stroke weight="1pt" color="#000000 [3213]" miterlimit="8" joinstyle="miter"/>
                    <v:imagedata o:title=""/>
                    <o:lock v:ext="edit" aspectratio="f"/>
                  </v:shape>
                  <v:rect id="_x0000_s1026" o:spid="_x0000_s1026" o:spt="1" style="position:absolute;left:8357;top:1182598;height:478;width:214;rotation:5898240f;v-text-anchor:middle;" fillcolor="#FFC000" filled="t" stroked="t" coordsize="21600,21600" o:gfxdata="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kPCK8AAAA&#10;2wAAAA8AAAAAAAAAAQAgAAAAIgAAAGRycy9kb3ducmV2LnhtbFBLAQIUABQAAAAIAIdO4kAzLwWe&#10;OwAAADkAAAAQAAAAAAAAAAEAIAAAAAsBAABkcnMvc2hhcGV4bWwueG1sUEsFBgAAAAAGAAYAWwEA&#10;ALUDAAAAAA==&#10;">
                    <v:fill on="t" focussize="0,0"/>
                    <v:stroke weight="1pt" color="#2E75B6 [2404]" miterlimit="8" joinstyle="miter"/>
                    <v:imagedata o:title=""/>
                    <o:lock v:ext="edit" aspectratio="f"/>
                  </v:rect>
                  <v:rect id="_x0000_s1026" o:spid="_x0000_s1026" o:spt="1" style="position:absolute;left:4008;top:1183661;height:2168;width:4555;v-text-anchor:middle;" fillcolor="#BFBFBF [2412]" filled="t" stroked="t" coordsize="21600,21600" o:gfxdata="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NRwG5AAAA2wAA&#10;AA8AAAAAAAAAAQAgAAAAIgAAAGRycy9kb3ducmV2LnhtbFBLAQIUABQAAAAIAIdO4kAzLwWeOwAA&#10;ADkAAAAQAAAAAAAAAAEAIAAAAAgBAABkcnMvc2hhcGV4bWwueG1sUEsFBgAAAAAGAAYAWwEAALID&#10;AAAAAA==&#10;">
                    <v:fill on="t" focussize="0,0"/>
                    <v:stroke weight="1pt" color="#2E75B6 [2404]" miterlimit="8" joinstyle="miter"/>
                    <v:imagedata o:title=""/>
                    <o:lock v:ext="edit" aspectratio="f"/>
                    <v:textbox>
                      <w:txbxContent>
                        <w:p w14:paraId="21552CAE">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租赁厂区内的废弃设施</w:t>
                          </w:r>
                        </w:p>
                      </w:txbxContent>
                    </v:textbox>
                  </v:rect>
                </v:group>
                <v:rect id="_x0000_s1026" o:spid="_x0000_s1026" o:spt="1" style="position:absolute;left:2754;top:1180866;height:8045;width:14113;v-text-anchor:middle;" filled="f" stroked="t" coordsize="21600,21600" o:gfxdata="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Fbx2/&#10;AAAA2w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rect>
                <v:shape id="图片 25" o:spid="_x0000_s1026" o:spt="75" type="#_x0000_t75" style="position:absolute;left:15305;top:1180906;height:1596;width:1571;" filled="f" o:preferrelative="t" stroked="t" coordsize="21600,21600" o:gfxdata="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cC7C5AAAA2wAA&#10;AA8AAAAAAAAAAQAgAAAAIgAAAGRycy9kb3ducmV2LnhtbFBLAQIUABQAAAAIAIdO4kAzLwWeOwAA&#10;ADkAAAAQAAAAAAAAAAEAIAAAAAgBAABkcnMvc2hhcGV4bWwueG1sUEsFBgAAAAAGAAYAWwEAALID&#10;AAAAAA==&#10;">
                  <v:fill on="f" focussize="0,0"/>
                  <v:stroke color="#000000" joinstyle="miter"/>
                  <v:imagedata r:id="rId44" o:title=""/>
                  <o:lock v:ext="edit" aspectratio="t"/>
                </v:shape>
              </v:group>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1273810</wp:posOffset>
                </wp:positionH>
                <wp:positionV relativeFrom="paragraph">
                  <wp:posOffset>-5080</wp:posOffset>
                </wp:positionV>
                <wp:extent cx="3230880" cy="3156585"/>
                <wp:effectExtent l="6350" t="0" r="18415" b="7620"/>
                <wp:wrapNone/>
                <wp:docPr id="41" name="肘形连接符 41"/>
                <wp:cNvGraphicFramePr/>
                <a:graphic xmlns:a="http://schemas.openxmlformats.org/drawingml/2006/main">
                  <a:graphicData uri="http://schemas.microsoft.com/office/word/2010/wordprocessingShape">
                    <wps:wsp>
                      <wps:cNvCnPr>
                        <a:endCxn id="10" idx="3"/>
                      </wps:cNvCnPr>
                      <wps:spPr>
                        <a:xfrm rot="5400000" flipV="1">
                          <a:off x="0" y="0"/>
                          <a:ext cx="3230880" cy="3156585"/>
                        </a:xfrm>
                        <a:prstGeom prst="bentConnector4">
                          <a:avLst>
                            <a:gd name="adj1" fmla="val 2840"/>
                            <a:gd name="adj2" fmla="val 150"/>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flip:y;margin-left:100.3pt;margin-top:-0.4pt;height:248.55pt;width:254.4pt;rotation:-5898240f;z-index:251668480;mso-width-relative:page;mso-height-relative:page;" filled="f" stroked="t" coordsize="21600,21600" o:gfxdata="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O0DEHYAAAACQEAAA8AAAAAAAAAAQAgAAAAIgAAAGRy&#10;cy9kb3ducmV2LnhtbFBLAQIUABQAAAAIAIdO4kBW9obcPgIAAFIEAAAOAAAAAAAAAAEAIAAAACcB&#10;AABkcnMvZTJvRG9jLnhtbFBLBQYAAAAABgAGAFkBAADXBQAAAAA=&#10;" adj="613,32">
                <v:fill on="f" focussize="0,0"/>
                <v:stroke weight="1pt" color="#5B9BD5 [3204]" miterlimit="8" joinstyle="miter"/>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5491480</wp:posOffset>
                </wp:positionH>
                <wp:positionV relativeFrom="paragraph">
                  <wp:posOffset>3023870</wp:posOffset>
                </wp:positionV>
                <wp:extent cx="813435" cy="260985"/>
                <wp:effectExtent l="0" t="0" r="5715" b="5715"/>
                <wp:wrapNone/>
                <wp:docPr id="38" name="矩形 38"/>
                <wp:cNvGraphicFramePr/>
                <a:graphic xmlns:a="http://schemas.openxmlformats.org/drawingml/2006/main">
                  <a:graphicData uri="http://schemas.microsoft.com/office/word/2010/wordprocessingShape">
                    <wps:wsp>
                      <wps:cNvSpPr/>
                      <wps:spPr>
                        <a:xfrm>
                          <a:off x="0" y="0"/>
                          <a:ext cx="813435" cy="2609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CE2AD8">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车间门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2.4pt;margin-top:238.1pt;height:20.55pt;width:64.05pt;z-index:251667456;v-text-anchor:middle;mso-width-relative:page;mso-height-relative:page;" fillcolor="#FFFFFF [3212]" filled="t" stroked="f" coordsize="21600,21600" o:gfxdata="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HH9P62wAAAAsBAAAPAAAAAAAAAAEAIAAAACIAAABkcnMv&#10;ZG93bnJldi54bWxQSwECFAAUAAAACACHTuJAyuptZnICAADXBAAADgAAAAAAAAABACAAAAAqAQAA&#10;ZHJzL2Uyb0RvYy54bWxQSwUGAAAAAAYABgBZAQAADgYAAAAA&#10;">
                <v:fill on="t" focussize="0,0"/>
                <v:stroke on="f" weight="1pt" miterlimit="8" joinstyle="miter"/>
                <v:imagedata o:title=""/>
                <o:lock v:ext="edit" aspectratio="f"/>
                <v:textbox>
                  <w:txbxContent>
                    <w:p w14:paraId="39CE2AD8">
                      <w:pPr>
                        <w:jc w:val="center"/>
                        <w:rPr>
                          <w:rFonts w:hint="default"/>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3"/>
                          <w:szCs w:val="13"/>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车间门</w:t>
                      </w:r>
                    </w:p>
                  </w:txbxContent>
                </v:textbox>
              </v:rect>
            </w:pict>
          </mc:Fallback>
        </mc:AlternateContent>
      </w:r>
    </w:p>
    <w:p w14:paraId="461ECA81">
      <w:pPr>
        <w:pStyle w:val="18"/>
        <w:ind w:left="0" w:leftChars="0" w:firstLine="0" w:firstLineChars="0"/>
        <w:jc w:val="center"/>
      </w:pPr>
      <w:r>
        <w:rPr>
          <w:sz w:val="21"/>
        </w:rPr>
        <mc:AlternateContent>
          <mc:Choice Requires="wpg">
            <w:drawing>
              <wp:anchor distT="0" distB="0" distL="114300" distR="114300" simplePos="0" relativeHeight="251673600" behindDoc="0" locked="0" layoutInCell="1" allowOverlap="1">
                <wp:simplePos x="0" y="0"/>
                <wp:positionH relativeFrom="column">
                  <wp:posOffset>458470</wp:posOffset>
                </wp:positionH>
                <wp:positionV relativeFrom="paragraph">
                  <wp:posOffset>3470910</wp:posOffset>
                </wp:positionV>
                <wp:extent cx="1531620" cy="1180465"/>
                <wp:effectExtent l="9525" t="0" r="0" b="635"/>
                <wp:wrapNone/>
                <wp:docPr id="82" name="组合 82"/>
                <wp:cNvGraphicFramePr/>
                <a:graphic xmlns:a="http://schemas.openxmlformats.org/drawingml/2006/main">
                  <a:graphicData uri="http://schemas.microsoft.com/office/word/2010/wordprocessingGroup">
                    <wpg:wgp>
                      <wpg:cNvGrpSpPr/>
                      <wpg:grpSpPr>
                        <a:xfrm>
                          <a:off x="0" y="0"/>
                          <a:ext cx="1531620" cy="1180465"/>
                          <a:chOff x="2445" y="1186349"/>
                          <a:chExt cx="2412" cy="1859"/>
                        </a:xfrm>
                      </wpg:grpSpPr>
                      <wps:wsp>
                        <wps:cNvPr id="39" name="矩形 39"/>
                        <wps:cNvSpPr/>
                        <wps:spPr>
                          <a:xfrm>
                            <a:off x="3330" y="1186349"/>
                            <a:ext cx="855" cy="4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0AACE0B">
                              <w:pPr>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2445" y="1186904"/>
                            <a:ext cx="435" cy="270"/>
                          </a:xfrm>
                          <a:prstGeom prst="rect">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48"/>
                        <wps:cNvSpPr/>
                        <wps:spPr>
                          <a:xfrm>
                            <a:off x="2880" y="1186784"/>
                            <a:ext cx="1514" cy="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9627CA1">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建设项目厂界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2445" y="1187369"/>
                            <a:ext cx="435" cy="270"/>
                          </a:xfrm>
                          <a:prstGeom prst="rect">
                            <a:avLst/>
                          </a:prstGeom>
                          <a:solidFill>
                            <a:schemeClr val="accent4"/>
                          </a:solidFill>
                          <a:ln>
                            <a:solidFill>
                              <a:schemeClr val="accent4"/>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矩形 78"/>
                        <wps:cNvSpPr/>
                        <wps:spPr>
                          <a:xfrm>
                            <a:off x="2925" y="1187294"/>
                            <a:ext cx="1514" cy="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AE38FB8">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环境保护目标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 80"/>
                        <wps:cNvSpPr/>
                        <wps:spPr>
                          <a:xfrm>
                            <a:off x="2445" y="1187909"/>
                            <a:ext cx="435" cy="270"/>
                          </a:xfrm>
                          <a:prstGeom prst="rect">
                            <a:avLst/>
                          </a:prstGeom>
                          <a:noFill/>
                          <a:ln w="19050">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2925" y="1187774"/>
                            <a:ext cx="1933" cy="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E6F895C">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500m大气评价范围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6.1pt;margin-top:273.3pt;height:92.95pt;width:120.6pt;z-index:251673600;mso-width-relative:page;mso-height-relative:page;" coordorigin="2445,1186349" coordsize="2412,1859" o:gfxdata="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CJlpkq2gAAAAoBAAAPAAAAAAAAAAEAIAAA&#10;ACIAAABkcnMvZG93bnJldi54bWxQSwECFAAUAAAACACHTuJApMPsigsEAACIFwAADgAAAAAAAAAB&#10;ACAAAAApAQAAZHJzL2Uyb0RvYy54bWxQSwUGAAAAAAYABgBZAQAApgcAAAAA&#10;">
                <o:lock v:ext="edit" aspectratio="f"/>
                <v:rect id="_x0000_s1026" o:spid="_x0000_s1026" o:spt="1" style="position:absolute;left:3330;top:1186349;height:480;width:855;v-text-anchor:middle;" filled="f" stroked="f" coordsize="21600,21600" o:gfxdata="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LKa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10AACE0B">
                        <w:pPr>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图例</w:t>
                        </w:r>
                      </w:p>
                    </w:txbxContent>
                  </v:textbox>
                </v:rect>
                <v:rect id="_x0000_s1026" o:spid="_x0000_s1026" o:spt="1" style="position:absolute;left:2445;top:1186904;height:270;width:435;v-text-anchor:middle;" fillcolor="#5B9BD5 [3204]" filled="t" stroked="t" coordsize="21600,21600" o:gfxdata="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VsW8AAAA&#10;2wAAAA8AAAAAAAAAAQAgAAAAIgAAAGRycy9kb3ducmV2LnhtbFBLAQIUABQAAAAIAIdO4kAzLwWe&#10;OwAAADkAAAAQAAAAAAAAAAEAIAAAAAsBAABkcnMvc2hhcGV4bWwueG1sUEsFBgAAAAAGAAYAWwEA&#10;ALUDAAAAAA==&#10;">
                  <v:fill on="t" focussize="0,0"/>
                  <v:stroke weight="1pt" color="#FF0000 [2404]" miterlimit="8" joinstyle="miter"/>
                  <v:imagedata o:title=""/>
                  <o:lock v:ext="edit" aspectratio="f"/>
                </v:rect>
                <v:rect id="_x0000_s1026" o:spid="_x0000_s1026" o:spt="1" style="position:absolute;left:2880;top:1186784;height:435;width:1514;v-text-anchor:middle;" filled="f" stroked="f" coordsize="21600,21600" o:gfxdata="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iZHy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09627CA1">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建设项目厂界</w:t>
                        </w:r>
                      </w:p>
                    </w:txbxContent>
                  </v:textbox>
                </v:rect>
                <v:rect id="_x0000_s1026" o:spid="_x0000_s1026" o:spt="1" style="position:absolute;left:2445;top:1187369;height:270;width:435;v-text-anchor:middle;" fillcolor="#FFC000 [3207]" filled="t" stroked="t" coordsize="21600,21600" o:gfxdata="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Q3/i8AAAA&#10;2wAAAA8AAAAAAAAAAQAgAAAAIgAAAGRycy9kb3ducmV2LnhtbFBLAQIUABQAAAAIAIdO4kAzLwWe&#10;OwAAADkAAAAQAAAAAAAAAAEAIAAAAAsBAABkcnMvc2hhcGV4bWwueG1sUEsFBgAAAAAGAAYAWwEA&#10;ALUDAAAAAA==&#10;">
                  <v:fill on="t" focussize="0,0"/>
                  <v:stroke weight="1pt" color="#FFC000 [3207]" miterlimit="8" joinstyle="miter"/>
                  <v:imagedata o:title=""/>
                  <o:lock v:ext="edit" aspectratio="f"/>
                </v:rect>
                <v:rect id="_x0000_s1026" o:spid="_x0000_s1026" o:spt="1" style="position:absolute;left:2925;top:1187294;height:435;width:1514;v-text-anchor:middle;" filled="f" stroked="f" coordsize="21600,21600" o:gfxdata="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OrsG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5AE38FB8">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环境保护目标</w:t>
                        </w:r>
                      </w:p>
                    </w:txbxContent>
                  </v:textbox>
                </v:rect>
                <v:rect id="_x0000_s1026" o:spid="_x0000_s1026" o:spt="1" style="position:absolute;left:2445;top:1187909;height:270;width:435;v-text-anchor:middle;" filled="f" stroked="t" coordsize="21600,21600" o:gfxdata="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EuTKLUAAADbAAAADwAA&#10;AAAAAAABACAAAAAiAAAAZHJzL2Rvd25yZXYueG1sUEsBAhQAFAAAAAgAh07iQDMvBZ47AAAAOQAA&#10;ABAAAAAAAAAAAQAgAAAABAEAAGRycy9zaGFwZXhtbC54bWxQSwUGAAAAAAYABgBbAQAArgMAAAAA&#10;">
                  <v:fill on="f" focussize="0,0"/>
                  <v:stroke weight="1.5pt" color="#00B050 [2404]" miterlimit="8" joinstyle="miter"/>
                  <v:imagedata o:title=""/>
                  <o:lock v:ext="edit" aspectratio="f"/>
                </v:rect>
                <v:rect id="_x0000_s1026" o:spid="_x0000_s1026" o:spt="1" style="position:absolute;left:2925;top:1187774;height:435;width:1933;v-text-anchor:middle;" filled="f" stroked="f" coordsize="21600,21600" o:gfxdata="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F3e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E6F895C">
                        <w:pPr>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500m大气评价范围</w:t>
                        </w:r>
                      </w:p>
                    </w:txbxContent>
                  </v:textbox>
                </v:rect>
              </v:group>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382905</wp:posOffset>
                </wp:positionH>
                <wp:positionV relativeFrom="paragraph">
                  <wp:posOffset>3452495</wp:posOffset>
                </wp:positionV>
                <wp:extent cx="1875790" cy="1780540"/>
                <wp:effectExtent l="6350" t="6350" r="22860" b="22860"/>
                <wp:wrapNone/>
                <wp:docPr id="1" name="矩形 1"/>
                <wp:cNvGraphicFramePr/>
                <a:graphic xmlns:a="http://schemas.openxmlformats.org/drawingml/2006/main">
                  <a:graphicData uri="http://schemas.microsoft.com/office/word/2010/wordprocessingShape">
                    <wps:wsp>
                      <wps:cNvSpPr/>
                      <wps:spPr>
                        <a:xfrm>
                          <a:off x="1306195" y="4632960"/>
                          <a:ext cx="1875790" cy="1780540"/>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5pt;margin-top:271.85pt;height:140.2pt;width:147.7pt;z-index:251672576;v-text-anchor:middle;mso-width-relative:page;mso-height-relative:page;" fillcolor="#FFFFFF [3212]" filled="t" stroked="t" coordsize="21600,21600" o:gfxdata="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8qdVAtkA&#10;AAAKAQAADwAAAAAAAAABACAAAAAiAAAAZHJzL2Rvd25yZXYueG1sUEsBAhQAFAAAAAgAh07iQCF0&#10;3taQAgAAIwUAAA4AAAAAAAAAAQAgAAAAKAEAAGRycy9lMm9Eb2MueG1sUEsFBgAAAAAGAAYAWQEA&#10;ACoGAAAAAA==&#10;">
                <v:fill on="t" focussize="0,0"/>
                <v:stroke weight="1pt" color="#2E75B6 [2404]" miterlimit="8" joinstyle="miter"/>
                <v:imagedata o:title=""/>
                <o:lock v:ext="edit" aspectratio="f"/>
              </v:rect>
            </w:pict>
          </mc:Fallback>
        </mc:AlternateContent>
      </w:r>
      <w:r>
        <w:rPr>
          <w:color w:val="auto"/>
        </w:rPr>
        <w:drawing>
          <wp:anchor distT="0" distB="0" distL="114300" distR="114300" simplePos="0" relativeHeight="251663360" behindDoc="0" locked="0" layoutInCell="1" allowOverlap="1">
            <wp:simplePos x="0" y="0"/>
            <wp:positionH relativeFrom="column">
              <wp:posOffset>7633970</wp:posOffset>
            </wp:positionH>
            <wp:positionV relativeFrom="paragraph">
              <wp:posOffset>83185</wp:posOffset>
            </wp:positionV>
            <wp:extent cx="848360" cy="861695"/>
            <wp:effectExtent l="9525" t="9525" r="18415" b="24130"/>
            <wp:wrapNone/>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44"/>
                    <a:stretch>
                      <a:fillRect/>
                    </a:stretch>
                  </pic:blipFill>
                  <pic:spPr>
                    <a:xfrm>
                      <a:off x="0" y="0"/>
                      <a:ext cx="848360" cy="861695"/>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3108325</wp:posOffset>
                </wp:positionH>
                <wp:positionV relativeFrom="paragraph">
                  <wp:posOffset>5137150</wp:posOffset>
                </wp:positionV>
                <wp:extent cx="3486150" cy="409575"/>
                <wp:effectExtent l="0" t="0" r="0" b="0"/>
                <wp:wrapNone/>
                <wp:docPr id="14" name="矩形 14"/>
                <wp:cNvGraphicFramePr/>
                <a:graphic xmlns:a="http://schemas.openxmlformats.org/drawingml/2006/main">
                  <a:graphicData uri="http://schemas.microsoft.com/office/word/2010/wordprocessingShape">
                    <wps:wsp>
                      <wps:cNvSpPr/>
                      <wps:spPr>
                        <a:xfrm>
                          <a:off x="4022725" y="6413500"/>
                          <a:ext cx="3486150" cy="4095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3322017">
                            <w:pPr>
                              <w:jc w:val="center"/>
                              <w:rPr>
                                <w:rFonts w:hint="default"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    建设项目项目周围环境保护目标分布图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75pt;margin-top:404.5pt;height:32.25pt;width:274.5pt;z-index:251662336;v-text-anchor:middle;mso-width-relative:page;mso-height-relative:page;" filled="f" stroked="f" coordsize="21600,21600" o:gfxdata="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RmC1vYAAAADAEAAA8AAAAAAAAAAQAgAAAAIgAAAGRycy9kb3ducmV2&#10;LnhtbFBLAQIUABQAAAAIAIdO4kCUJg6PbgIAALsEAAAOAAAAAAAAAAEAIAAAACcBAABkcnMvZTJv&#10;RG9jLnhtbFBLBQYAAAAABgAGAFkBAAAHBgAAAAA=&#10;">
                <v:fill on="f" focussize="0,0"/>
                <v:stroke on="f" weight="1pt" miterlimit="8" joinstyle="miter"/>
                <v:imagedata o:title=""/>
                <o:lock v:ext="edit" aspectratio="f"/>
                <v:textbox>
                  <w:txbxContent>
                    <w:p w14:paraId="33322017">
                      <w:pPr>
                        <w:jc w:val="center"/>
                        <w:rPr>
                          <w:rFonts w:hint="default"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    建设项目项目周围环境保护目标分布图</w:t>
                      </w:r>
                    </w:p>
                  </w:txbxContent>
                </v:textbox>
              </v:rect>
            </w:pict>
          </mc:Fallback>
        </mc:AlternateContent>
      </w:r>
      <w:r>
        <w:drawing>
          <wp:inline distT="0" distB="0" distL="114300" distR="114300">
            <wp:extent cx="8127365" cy="5146675"/>
            <wp:effectExtent l="12700" t="12700" r="13335" b="222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6"/>
                    <a:stretch>
                      <a:fillRect/>
                    </a:stretch>
                  </pic:blipFill>
                  <pic:spPr>
                    <a:xfrm>
                      <a:off x="0" y="0"/>
                      <a:ext cx="8127365" cy="5146675"/>
                    </a:xfrm>
                    <a:prstGeom prst="rect">
                      <a:avLst/>
                    </a:prstGeom>
                    <a:noFill/>
                    <a:ln w="12700">
                      <a:solidFill>
                        <a:schemeClr val="tx1"/>
                      </a:solidFill>
                    </a:ln>
                  </pic:spPr>
                </pic:pic>
              </a:graphicData>
            </a:graphic>
          </wp:inline>
        </w:drawing>
      </w:r>
    </w:p>
    <w:p w14:paraId="218485F7">
      <w:pPr>
        <w:rPr>
          <w:rFonts w:hint="default"/>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536CF77">
      <w:pPr>
        <w:rPr>
          <w:rFonts w:hint="default"/>
          <w:color w:val="000000" w:themeColor="text1"/>
          <w:lang w:eastAsia="zh-CN"/>
          <w14:textFill>
            <w14:solidFill>
              <w14:schemeClr w14:val="tx1"/>
            </w14:solidFill>
          </w14:textFill>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18030">
    <w:altName w:val="Segoe Print"/>
    <w:panose1 w:val="00000000000000000000"/>
    <w:charset w:val="00"/>
    <w:family w:val="auto"/>
    <w:pitch w:val="default"/>
    <w:sig w:usb0="00000000" w:usb1="00000000" w:usb2="00000000" w:usb3="00000000" w:csb0="00000001" w:csb1="00000000"/>
  </w:font>
  <w:font w:name="仿宋_GB2312">
    <w:panose1 w:val="02010609030101010101"/>
    <w:charset w:val="86"/>
    <w:family w:val="auto"/>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TimesNewRomanPS-BoldMT">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90EF9">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CEA09">
    <w:pPr>
      <w:pStyle w:val="15"/>
      <w:framePr w:wrap="around" w:vAnchor="text" w:hAnchor="margin" w:xAlign="center" w:y="1"/>
      <w:rPr>
        <w:rStyle w:val="25"/>
      </w:rPr>
    </w:pPr>
    <w:r>
      <w:fldChar w:fldCharType="begin"/>
    </w:r>
    <w:r>
      <w:rPr>
        <w:rStyle w:val="25"/>
      </w:rPr>
      <w:instrText xml:space="preserve">PAGE  </w:instrText>
    </w:r>
    <w:r>
      <w:fldChar w:fldCharType="end"/>
    </w:r>
  </w:p>
  <w:p w14:paraId="3315EAD8">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8C192">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9</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14:paraId="2968623F">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402B">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11</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14:paraId="16A6E986">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69F7A">
    <w:pPr>
      <w:pStyle w:val="1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E703C">
    <w:pPr>
      <w:pStyle w:val="1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6B387A"/>
    <w:multiLevelType w:val="singleLevel"/>
    <w:tmpl w:val="ED6B387A"/>
    <w:lvl w:ilvl="0" w:tentative="0">
      <w:start w:val="5"/>
      <w:numFmt w:val="chineseCounting"/>
      <w:suff w:val="nothing"/>
      <w:lvlText w:val="%1、"/>
      <w:lvlJc w:val="left"/>
      <w:rPr>
        <w:rFonts w:hint="eastAsia"/>
      </w:rPr>
    </w:lvl>
  </w:abstractNum>
  <w:abstractNum w:abstractNumId="1">
    <w:nsid w:val="00000008"/>
    <w:multiLevelType w:val="singleLevel"/>
    <w:tmpl w:val="00000008"/>
    <w:lvl w:ilvl="0" w:tentative="0">
      <w:start w:val="3"/>
      <w:numFmt w:val="decimal"/>
      <w:suff w:val="nothing"/>
      <w:lvlText w:val="%1）"/>
      <w:lvlJc w:val="left"/>
    </w:lvl>
  </w:abstractNum>
  <w:abstractNum w:abstractNumId="2">
    <w:nsid w:val="118474B5"/>
    <w:multiLevelType w:val="singleLevel"/>
    <w:tmpl w:val="118474B5"/>
    <w:lvl w:ilvl="0" w:tentative="0">
      <w:start w:val="1"/>
      <w:numFmt w:val="decimal"/>
      <w:suff w:val="nothing"/>
      <w:lvlText w:val="%1、"/>
      <w:lvlJc w:val="left"/>
    </w:lvl>
  </w:abstractNum>
  <w:abstractNum w:abstractNumId="3">
    <w:nsid w:val="18858507"/>
    <w:multiLevelType w:val="singleLevel"/>
    <w:tmpl w:val="1885850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4">
    <w:nsid w:val="20DF1D75"/>
    <w:multiLevelType w:val="singleLevel"/>
    <w:tmpl w:val="20DF1D75"/>
    <w:lvl w:ilvl="0" w:tentative="0">
      <w:start w:val="2"/>
      <w:numFmt w:val="decimal"/>
      <w:lvlText w:val="%1."/>
      <w:lvlJc w:val="left"/>
      <w:pPr>
        <w:tabs>
          <w:tab w:val="left" w:pos="312"/>
        </w:tabs>
      </w:pPr>
    </w:lvl>
  </w:abstractNum>
  <w:abstractNum w:abstractNumId="5">
    <w:nsid w:val="299E20A3"/>
    <w:multiLevelType w:val="singleLevel"/>
    <w:tmpl w:val="299E20A3"/>
    <w:lvl w:ilvl="0" w:tentative="0">
      <w:start w:val="1"/>
      <w:numFmt w:val="chineseCounting"/>
      <w:suff w:val="nothing"/>
      <w:lvlText w:val="（%1）"/>
      <w:lvlJc w:val="left"/>
      <w:rPr>
        <w:rFonts w:hint="eastAsia"/>
      </w:rPr>
    </w:lvl>
  </w:abstractNum>
  <w:abstractNum w:abstractNumId="6">
    <w:nsid w:val="2CE247F5"/>
    <w:multiLevelType w:val="singleLevel"/>
    <w:tmpl w:val="2CE247F5"/>
    <w:lvl w:ilvl="0" w:tentative="0">
      <w:start w:val="4"/>
      <w:numFmt w:val="decimal"/>
      <w:suff w:val="nothing"/>
      <w:lvlText w:val="%1、"/>
      <w:lvlJc w:val="left"/>
    </w:lvl>
  </w:abstractNum>
  <w:abstractNum w:abstractNumId="7">
    <w:nsid w:val="2E69A455"/>
    <w:multiLevelType w:val="singleLevel"/>
    <w:tmpl w:val="2E69A455"/>
    <w:lvl w:ilvl="0" w:tentative="0">
      <w:start w:val="1"/>
      <w:numFmt w:val="decimal"/>
      <w:suff w:val="nothing"/>
      <w:lvlText w:val="%1、"/>
      <w:lvlJc w:val="left"/>
    </w:lvl>
  </w:abstractNum>
  <w:abstractNum w:abstractNumId="8">
    <w:nsid w:val="45D88A5D"/>
    <w:multiLevelType w:val="singleLevel"/>
    <w:tmpl w:val="45D88A5D"/>
    <w:lvl w:ilvl="0" w:tentative="0">
      <w:start w:val="1"/>
      <w:numFmt w:val="decimal"/>
      <w:suff w:val="nothing"/>
      <w:lvlText w:val="（%1）"/>
      <w:lvlJc w:val="left"/>
    </w:lvl>
  </w:abstractNum>
  <w:abstractNum w:abstractNumId="9">
    <w:nsid w:val="5C20C649"/>
    <w:multiLevelType w:val="singleLevel"/>
    <w:tmpl w:val="5C20C649"/>
    <w:lvl w:ilvl="0" w:tentative="0">
      <w:start w:val="3"/>
      <w:numFmt w:val="decimal"/>
      <w:suff w:val="nothing"/>
      <w:lvlText w:val="%1）"/>
      <w:lvlJc w:val="left"/>
    </w:lvl>
  </w:abstractNum>
  <w:abstractNum w:abstractNumId="10">
    <w:nsid w:val="628FBDAB"/>
    <w:multiLevelType w:val="singleLevel"/>
    <w:tmpl w:val="628FBDAB"/>
    <w:lvl w:ilvl="0" w:tentative="0">
      <w:start w:val="11"/>
      <w:numFmt w:val="decimal"/>
      <w:suff w:val="nothing"/>
      <w:lvlText w:val="%1、"/>
      <w:lvlJc w:val="left"/>
    </w:lvl>
  </w:abstractNum>
  <w:num w:numId="1">
    <w:abstractNumId w:val="3"/>
  </w:num>
  <w:num w:numId="2">
    <w:abstractNumId w:val="4"/>
  </w:num>
  <w:num w:numId="3">
    <w:abstractNumId w:val="5"/>
  </w:num>
  <w:num w:numId="4">
    <w:abstractNumId w:val="8"/>
  </w:num>
  <w:num w:numId="5">
    <w:abstractNumId w:val="10"/>
  </w:num>
  <w:num w:numId="6">
    <w:abstractNumId w:val="2"/>
  </w:num>
  <w:num w:numId="7">
    <w:abstractNumId w:val="6"/>
  </w:num>
  <w:num w:numId="8">
    <w:abstractNumId w:val="9"/>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 w:name="KSO_WPS_MARK_KEY" w:val="a9f50974-bab3-47f7-95b5-93a347458149"/>
  </w:docVars>
  <w:rsids>
    <w:rsidRoot w:val="00000000"/>
    <w:rsid w:val="000969AD"/>
    <w:rsid w:val="00164C26"/>
    <w:rsid w:val="00315A11"/>
    <w:rsid w:val="003A6C0E"/>
    <w:rsid w:val="004F5B15"/>
    <w:rsid w:val="00664764"/>
    <w:rsid w:val="00753B19"/>
    <w:rsid w:val="008043D8"/>
    <w:rsid w:val="00923F67"/>
    <w:rsid w:val="00977B14"/>
    <w:rsid w:val="009E5347"/>
    <w:rsid w:val="009F675E"/>
    <w:rsid w:val="00A65DA4"/>
    <w:rsid w:val="00C11035"/>
    <w:rsid w:val="00C610A6"/>
    <w:rsid w:val="00C74224"/>
    <w:rsid w:val="00CE71D0"/>
    <w:rsid w:val="00D72607"/>
    <w:rsid w:val="00E371FE"/>
    <w:rsid w:val="00E970D5"/>
    <w:rsid w:val="00F46F99"/>
    <w:rsid w:val="01006CB0"/>
    <w:rsid w:val="010A6D7A"/>
    <w:rsid w:val="01170A42"/>
    <w:rsid w:val="01252480"/>
    <w:rsid w:val="012D0479"/>
    <w:rsid w:val="012F2443"/>
    <w:rsid w:val="01331BD8"/>
    <w:rsid w:val="014337F8"/>
    <w:rsid w:val="0156047D"/>
    <w:rsid w:val="015B6D94"/>
    <w:rsid w:val="0162151D"/>
    <w:rsid w:val="016A4161"/>
    <w:rsid w:val="01732366"/>
    <w:rsid w:val="01794EB1"/>
    <w:rsid w:val="018A0F14"/>
    <w:rsid w:val="01902D2D"/>
    <w:rsid w:val="01954114"/>
    <w:rsid w:val="01A12BE4"/>
    <w:rsid w:val="01AC3A93"/>
    <w:rsid w:val="01B2614C"/>
    <w:rsid w:val="01B464A4"/>
    <w:rsid w:val="01BD2474"/>
    <w:rsid w:val="01C37DAD"/>
    <w:rsid w:val="01C93F0C"/>
    <w:rsid w:val="01CB58C2"/>
    <w:rsid w:val="01D53BEA"/>
    <w:rsid w:val="01E21263"/>
    <w:rsid w:val="01EC6CD0"/>
    <w:rsid w:val="01F40D1D"/>
    <w:rsid w:val="01FA2FCE"/>
    <w:rsid w:val="02042C70"/>
    <w:rsid w:val="023A109F"/>
    <w:rsid w:val="0241242E"/>
    <w:rsid w:val="02512DB9"/>
    <w:rsid w:val="02555ED9"/>
    <w:rsid w:val="027108F1"/>
    <w:rsid w:val="02A7799F"/>
    <w:rsid w:val="02AF74E7"/>
    <w:rsid w:val="02B078C8"/>
    <w:rsid w:val="02C941D1"/>
    <w:rsid w:val="02D844B5"/>
    <w:rsid w:val="02E30F91"/>
    <w:rsid w:val="02E87781"/>
    <w:rsid w:val="02F07C5B"/>
    <w:rsid w:val="02F47985"/>
    <w:rsid w:val="02F524E1"/>
    <w:rsid w:val="02F76F90"/>
    <w:rsid w:val="02FA5CCD"/>
    <w:rsid w:val="02FB4A52"/>
    <w:rsid w:val="030376E3"/>
    <w:rsid w:val="030C130F"/>
    <w:rsid w:val="031D432A"/>
    <w:rsid w:val="032559B3"/>
    <w:rsid w:val="032F2FE1"/>
    <w:rsid w:val="0333415F"/>
    <w:rsid w:val="03394EB3"/>
    <w:rsid w:val="033A0C2B"/>
    <w:rsid w:val="03400B54"/>
    <w:rsid w:val="035255C0"/>
    <w:rsid w:val="03575C81"/>
    <w:rsid w:val="03B60AA4"/>
    <w:rsid w:val="03BA23AF"/>
    <w:rsid w:val="03C274DB"/>
    <w:rsid w:val="03C65A6A"/>
    <w:rsid w:val="03D53871"/>
    <w:rsid w:val="03E52874"/>
    <w:rsid w:val="03EF2612"/>
    <w:rsid w:val="03F55DB8"/>
    <w:rsid w:val="03F87DB3"/>
    <w:rsid w:val="0409331C"/>
    <w:rsid w:val="040F43A0"/>
    <w:rsid w:val="04123B53"/>
    <w:rsid w:val="042711AF"/>
    <w:rsid w:val="04275653"/>
    <w:rsid w:val="04294F27"/>
    <w:rsid w:val="042C3D4E"/>
    <w:rsid w:val="0433224A"/>
    <w:rsid w:val="04384374"/>
    <w:rsid w:val="043A73DC"/>
    <w:rsid w:val="043D4E77"/>
    <w:rsid w:val="044110FF"/>
    <w:rsid w:val="045D2E23"/>
    <w:rsid w:val="046B1F5F"/>
    <w:rsid w:val="04754611"/>
    <w:rsid w:val="047D3FB0"/>
    <w:rsid w:val="047F7084"/>
    <w:rsid w:val="04947A6F"/>
    <w:rsid w:val="04AB197F"/>
    <w:rsid w:val="04AF37B7"/>
    <w:rsid w:val="04B213C1"/>
    <w:rsid w:val="04C05578"/>
    <w:rsid w:val="04CB22E1"/>
    <w:rsid w:val="04CF1FD8"/>
    <w:rsid w:val="04D255BF"/>
    <w:rsid w:val="04D56E5D"/>
    <w:rsid w:val="04D57F4E"/>
    <w:rsid w:val="04D93C62"/>
    <w:rsid w:val="04E15802"/>
    <w:rsid w:val="04E62E18"/>
    <w:rsid w:val="04ED2F59"/>
    <w:rsid w:val="050938AE"/>
    <w:rsid w:val="05162BD8"/>
    <w:rsid w:val="051C2CDE"/>
    <w:rsid w:val="05237D92"/>
    <w:rsid w:val="052C0704"/>
    <w:rsid w:val="052C3D36"/>
    <w:rsid w:val="05316FE2"/>
    <w:rsid w:val="053242B0"/>
    <w:rsid w:val="053503E9"/>
    <w:rsid w:val="05351E6A"/>
    <w:rsid w:val="05353DA0"/>
    <w:rsid w:val="053C0C8A"/>
    <w:rsid w:val="053C4614"/>
    <w:rsid w:val="053D7FEC"/>
    <w:rsid w:val="05483AD3"/>
    <w:rsid w:val="054B7485"/>
    <w:rsid w:val="055F69B1"/>
    <w:rsid w:val="05742431"/>
    <w:rsid w:val="057A3B3C"/>
    <w:rsid w:val="058663AA"/>
    <w:rsid w:val="058C5590"/>
    <w:rsid w:val="05900FD6"/>
    <w:rsid w:val="05927CF9"/>
    <w:rsid w:val="05976809"/>
    <w:rsid w:val="05B253F0"/>
    <w:rsid w:val="05C313E2"/>
    <w:rsid w:val="05C935D2"/>
    <w:rsid w:val="05D24F9A"/>
    <w:rsid w:val="05E07913"/>
    <w:rsid w:val="0600615C"/>
    <w:rsid w:val="06127C3D"/>
    <w:rsid w:val="061B2F96"/>
    <w:rsid w:val="062E5905"/>
    <w:rsid w:val="06357BC4"/>
    <w:rsid w:val="06652463"/>
    <w:rsid w:val="06662404"/>
    <w:rsid w:val="066C1A43"/>
    <w:rsid w:val="068B1EC9"/>
    <w:rsid w:val="06A72A7B"/>
    <w:rsid w:val="06B64A6C"/>
    <w:rsid w:val="06BD44A5"/>
    <w:rsid w:val="06BD5DFB"/>
    <w:rsid w:val="06D25D4A"/>
    <w:rsid w:val="06DB0973"/>
    <w:rsid w:val="06E25862"/>
    <w:rsid w:val="06E4550D"/>
    <w:rsid w:val="06EE2458"/>
    <w:rsid w:val="06FC6267"/>
    <w:rsid w:val="070E5D8E"/>
    <w:rsid w:val="07100621"/>
    <w:rsid w:val="071316CD"/>
    <w:rsid w:val="072365A6"/>
    <w:rsid w:val="07385A31"/>
    <w:rsid w:val="073B5914"/>
    <w:rsid w:val="07795DA1"/>
    <w:rsid w:val="0788053B"/>
    <w:rsid w:val="079904CC"/>
    <w:rsid w:val="07B05960"/>
    <w:rsid w:val="07B25830"/>
    <w:rsid w:val="07C96724"/>
    <w:rsid w:val="07EA2C20"/>
    <w:rsid w:val="07EC2E3C"/>
    <w:rsid w:val="080A5070"/>
    <w:rsid w:val="08194A86"/>
    <w:rsid w:val="081C4DA3"/>
    <w:rsid w:val="081F5E28"/>
    <w:rsid w:val="08245E41"/>
    <w:rsid w:val="08256F20"/>
    <w:rsid w:val="08316AA1"/>
    <w:rsid w:val="083D5FDB"/>
    <w:rsid w:val="084B3F6F"/>
    <w:rsid w:val="084D4F7C"/>
    <w:rsid w:val="08523527"/>
    <w:rsid w:val="08632D49"/>
    <w:rsid w:val="086C7AD9"/>
    <w:rsid w:val="08781BE5"/>
    <w:rsid w:val="087A0503"/>
    <w:rsid w:val="088600CC"/>
    <w:rsid w:val="088970C6"/>
    <w:rsid w:val="088F0D5E"/>
    <w:rsid w:val="08A85626"/>
    <w:rsid w:val="08BB26F0"/>
    <w:rsid w:val="08BF305E"/>
    <w:rsid w:val="08C978FA"/>
    <w:rsid w:val="08E81855"/>
    <w:rsid w:val="08EA5002"/>
    <w:rsid w:val="08F55D20"/>
    <w:rsid w:val="08F71A98"/>
    <w:rsid w:val="09023F99"/>
    <w:rsid w:val="091477B0"/>
    <w:rsid w:val="09181A0E"/>
    <w:rsid w:val="092263E9"/>
    <w:rsid w:val="09287EA3"/>
    <w:rsid w:val="092A393D"/>
    <w:rsid w:val="092C7268"/>
    <w:rsid w:val="0931503F"/>
    <w:rsid w:val="09322AD0"/>
    <w:rsid w:val="09424B8B"/>
    <w:rsid w:val="095F763D"/>
    <w:rsid w:val="097028BE"/>
    <w:rsid w:val="097546A9"/>
    <w:rsid w:val="097D22A1"/>
    <w:rsid w:val="097F23C2"/>
    <w:rsid w:val="0983157E"/>
    <w:rsid w:val="098A46BA"/>
    <w:rsid w:val="098B0432"/>
    <w:rsid w:val="098C700C"/>
    <w:rsid w:val="099B7006"/>
    <w:rsid w:val="099C43EE"/>
    <w:rsid w:val="09B269C1"/>
    <w:rsid w:val="09B96D4E"/>
    <w:rsid w:val="09BC725E"/>
    <w:rsid w:val="09CC7535"/>
    <w:rsid w:val="09D5345C"/>
    <w:rsid w:val="09DD2E18"/>
    <w:rsid w:val="09DE7C9B"/>
    <w:rsid w:val="09E01F18"/>
    <w:rsid w:val="09E35FBD"/>
    <w:rsid w:val="09F45FD8"/>
    <w:rsid w:val="09F75AC8"/>
    <w:rsid w:val="09FE6E56"/>
    <w:rsid w:val="0A0D7099"/>
    <w:rsid w:val="0A20501F"/>
    <w:rsid w:val="0A261F09"/>
    <w:rsid w:val="0A2979F9"/>
    <w:rsid w:val="0A2E773B"/>
    <w:rsid w:val="0A3B778F"/>
    <w:rsid w:val="0A4370F5"/>
    <w:rsid w:val="0A53642D"/>
    <w:rsid w:val="0A6F75BD"/>
    <w:rsid w:val="0A8628A4"/>
    <w:rsid w:val="0A9369E3"/>
    <w:rsid w:val="0A996DFC"/>
    <w:rsid w:val="0AAA5509"/>
    <w:rsid w:val="0AB063A2"/>
    <w:rsid w:val="0AB27352"/>
    <w:rsid w:val="0ACE77F8"/>
    <w:rsid w:val="0AD610C5"/>
    <w:rsid w:val="0AD7179E"/>
    <w:rsid w:val="0AD804FF"/>
    <w:rsid w:val="0AE83BE8"/>
    <w:rsid w:val="0AFA5C10"/>
    <w:rsid w:val="0B13248D"/>
    <w:rsid w:val="0B1336BB"/>
    <w:rsid w:val="0B2459B7"/>
    <w:rsid w:val="0B3E0702"/>
    <w:rsid w:val="0B4D146E"/>
    <w:rsid w:val="0B505490"/>
    <w:rsid w:val="0B6B1E26"/>
    <w:rsid w:val="0B725406"/>
    <w:rsid w:val="0B777B9C"/>
    <w:rsid w:val="0B7F3FC7"/>
    <w:rsid w:val="0B865355"/>
    <w:rsid w:val="0BA14C5F"/>
    <w:rsid w:val="0C023D20"/>
    <w:rsid w:val="0C0D7F54"/>
    <w:rsid w:val="0C1666D9"/>
    <w:rsid w:val="0C175FAD"/>
    <w:rsid w:val="0C4A6383"/>
    <w:rsid w:val="0C580AA0"/>
    <w:rsid w:val="0C656D19"/>
    <w:rsid w:val="0C8A677F"/>
    <w:rsid w:val="0C8C699B"/>
    <w:rsid w:val="0CCA1272"/>
    <w:rsid w:val="0CDC5FA5"/>
    <w:rsid w:val="0CE32AE1"/>
    <w:rsid w:val="0CE73BD2"/>
    <w:rsid w:val="0CF00BEA"/>
    <w:rsid w:val="0D00181C"/>
    <w:rsid w:val="0D044784"/>
    <w:rsid w:val="0D166EEA"/>
    <w:rsid w:val="0D507F07"/>
    <w:rsid w:val="0D531267"/>
    <w:rsid w:val="0D544CC0"/>
    <w:rsid w:val="0D561DE6"/>
    <w:rsid w:val="0D58062B"/>
    <w:rsid w:val="0D5D20E6"/>
    <w:rsid w:val="0D5F7C0C"/>
    <w:rsid w:val="0D6424DA"/>
    <w:rsid w:val="0D780511"/>
    <w:rsid w:val="0D7A11E1"/>
    <w:rsid w:val="0D7E52C3"/>
    <w:rsid w:val="0DA41AC3"/>
    <w:rsid w:val="0DBF099F"/>
    <w:rsid w:val="0DC64FDA"/>
    <w:rsid w:val="0DCD2DC7"/>
    <w:rsid w:val="0DD004FD"/>
    <w:rsid w:val="0DE1094B"/>
    <w:rsid w:val="0DEA79E6"/>
    <w:rsid w:val="0DEC55AB"/>
    <w:rsid w:val="0DED6FC6"/>
    <w:rsid w:val="0DFA10FD"/>
    <w:rsid w:val="0E171CC6"/>
    <w:rsid w:val="0E2844A2"/>
    <w:rsid w:val="0E39434A"/>
    <w:rsid w:val="0E4F1A2E"/>
    <w:rsid w:val="0E6B152D"/>
    <w:rsid w:val="0E6E6DBB"/>
    <w:rsid w:val="0E707BF7"/>
    <w:rsid w:val="0E7748E8"/>
    <w:rsid w:val="0E8042DE"/>
    <w:rsid w:val="0E8559ED"/>
    <w:rsid w:val="0E8A515C"/>
    <w:rsid w:val="0EB60EDD"/>
    <w:rsid w:val="0ED70739"/>
    <w:rsid w:val="0EDF4386"/>
    <w:rsid w:val="0EF40828"/>
    <w:rsid w:val="0F0A5EF6"/>
    <w:rsid w:val="0F0D4265"/>
    <w:rsid w:val="0F1113DA"/>
    <w:rsid w:val="0F3B6854"/>
    <w:rsid w:val="0F512501"/>
    <w:rsid w:val="0F552739"/>
    <w:rsid w:val="0F5B48D3"/>
    <w:rsid w:val="0F6E29D5"/>
    <w:rsid w:val="0F783207"/>
    <w:rsid w:val="0F7A4F0B"/>
    <w:rsid w:val="0F8073A1"/>
    <w:rsid w:val="0F88128C"/>
    <w:rsid w:val="0F9658E5"/>
    <w:rsid w:val="0F9C0CBE"/>
    <w:rsid w:val="0FAE7563"/>
    <w:rsid w:val="0FBD2C8C"/>
    <w:rsid w:val="0FC247F1"/>
    <w:rsid w:val="0FC4644C"/>
    <w:rsid w:val="0FE46C69"/>
    <w:rsid w:val="0FE6586D"/>
    <w:rsid w:val="0FE95EB3"/>
    <w:rsid w:val="0FEE34C9"/>
    <w:rsid w:val="0FF81034"/>
    <w:rsid w:val="0FF94D19"/>
    <w:rsid w:val="0FFA00C0"/>
    <w:rsid w:val="10040BC4"/>
    <w:rsid w:val="100D1B5B"/>
    <w:rsid w:val="102173FB"/>
    <w:rsid w:val="10321608"/>
    <w:rsid w:val="103664A7"/>
    <w:rsid w:val="10466E61"/>
    <w:rsid w:val="104D0505"/>
    <w:rsid w:val="105A732D"/>
    <w:rsid w:val="10625A8B"/>
    <w:rsid w:val="106917C4"/>
    <w:rsid w:val="106C2D6C"/>
    <w:rsid w:val="106C341C"/>
    <w:rsid w:val="107C55DD"/>
    <w:rsid w:val="108010A7"/>
    <w:rsid w:val="10892F2B"/>
    <w:rsid w:val="10894684"/>
    <w:rsid w:val="108F0808"/>
    <w:rsid w:val="10A67900"/>
    <w:rsid w:val="10AA5DC9"/>
    <w:rsid w:val="10B7591C"/>
    <w:rsid w:val="10D75D0B"/>
    <w:rsid w:val="10DE078D"/>
    <w:rsid w:val="110A60E1"/>
    <w:rsid w:val="11252F1A"/>
    <w:rsid w:val="112B0C0D"/>
    <w:rsid w:val="112C24FB"/>
    <w:rsid w:val="115D4462"/>
    <w:rsid w:val="117D7782"/>
    <w:rsid w:val="11A42091"/>
    <w:rsid w:val="11A55E09"/>
    <w:rsid w:val="11A606B2"/>
    <w:rsid w:val="11AB0CA1"/>
    <w:rsid w:val="11AF5111"/>
    <w:rsid w:val="11BF22CD"/>
    <w:rsid w:val="11CA0B93"/>
    <w:rsid w:val="11CC462E"/>
    <w:rsid w:val="11CE17E4"/>
    <w:rsid w:val="11CE35B2"/>
    <w:rsid w:val="11E44397"/>
    <w:rsid w:val="11FB167C"/>
    <w:rsid w:val="12023B17"/>
    <w:rsid w:val="1202500A"/>
    <w:rsid w:val="120862C4"/>
    <w:rsid w:val="12255AA3"/>
    <w:rsid w:val="122653C3"/>
    <w:rsid w:val="122704B0"/>
    <w:rsid w:val="123A6F07"/>
    <w:rsid w:val="123C6861"/>
    <w:rsid w:val="123E778E"/>
    <w:rsid w:val="126A5D2A"/>
    <w:rsid w:val="12760343"/>
    <w:rsid w:val="128208F9"/>
    <w:rsid w:val="128D6A97"/>
    <w:rsid w:val="12A3117A"/>
    <w:rsid w:val="12BB5DB5"/>
    <w:rsid w:val="12C53AA2"/>
    <w:rsid w:val="12D746E8"/>
    <w:rsid w:val="12ED1816"/>
    <w:rsid w:val="12ED7A68"/>
    <w:rsid w:val="12EF558E"/>
    <w:rsid w:val="13003E71"/>
    <w:rsid w:val="13203999"/>
    <w:rsid w:val="13345697"/>
    <w:rsid w:val="133C5BE7"/>
    <w:rsid w:val="13541895"/>
    <w:rsid w:val="13545D39"/>
    <w:rsid w:val="135B1E95"/>
    <w:rsid w:val="136127E4"/>
    <w:rsid w:val="136B6FC0"/>
    <w:rsid w:val="136D0135"/>
    <w:rsid w:val="13781A27"/>
    <w:rsid w:val="13912BD6"/>
    <w:rsid w:val="13A866AB"/>
    <w:rsid w:val="13B3017F"/>
    <w:rsid w:val="13B63A29"/>
    <w:rsid w:val="13C41076"/>
    <w:rsid w:val="13C83593"/>
    <w:rsid w:val="13D83CF6"/>
    <w:rsid w:val="13E175CD"/>
    <w:rsid w:val="13F830F7"/>
    <w:rsid w:val="142A5FDC"/>
    <w:rsid w:val="14380851"/>
    <w:rsid w:val="143A4969"/>
    <w:rsid w:val="143C0E29"/>
    <w:rsid w:val="14485420"/>
    <w:rsid w:val="14561543"/>
    <w:rsid w:val="145C6B08"/>
    <w:rsid w:val="146B333A"/>
    <w:rsid w:val="14767D41"/>
    <w:rsid w:val="1480472E"/>
    <w:rsid w:val="1481423B"/>
    <w:rsid w:val="1487658F"/>
    <w:rsid w:val="14992D4C"/>
    <w:rsid w:val="149C7998"/>
    <w:rsid w:val="14A67B88"/>
    <w:rsid w:val="14B561ED"/>
    <w:rsid w:val="14BC76F2"/>
    <w:rsid w:val="14BD665C"/>
    <w:rsid w:val="14C11619"/>
    <w:rsid w:val="14CD5DA3"/>
    <w:rsid w:val="14CF3D09"/>
    <w:rsid w:val="14D47131"/>
    <w:rsid w:val="14E60C13"/>
    <w:rsid w:val="1502629F"/>
    <w:rsid w:val="15115D81"/>
    <w:rsid w:val="151632A6"/>
    <w:rsid w:val="15187E15"/>
    <w:rsid w:val="15190FE8"/>
    <w:rsid w:val="151E215B"/>
    <w:rsid w:val="152139F9"/>
    <w:rsid w:val="15220B6B"/>
    <w:rsid w:val="15231493"/>
    <w:rsid w:val="152E4A94"/>
    <w:rsid w:val="15363948"/>
    <w:rsid w:val="15450835"/>
    <w:rsid w:val="155D0ED5"/>
    <w:rsid w:val="155E61A1"/>
    <w:rsid w:val="156E30E2"/>
    <w:rsid w:val="15766DEE"/>
    <w:rsid w:val="158F4E06"/>
    <w:rsid w:val="1598015F"/>
    <w:rsid w:val="15B036FB"/>
    <w:rsid w:val="15B040AA"/>
    <w:rsid w:val="15BB209F"/>
    <w:rsid w:val="15C67035"/>
    <w:rsid w:val="15DD3DC4"/>
    <w:rsid w:val="15E11F8A"/>
    <w:rsid w:val="15F555B1"/>
    <w:rsid w:val="15FF1D84"/>
    <w:rsid w:val="161F06B0"/>
    <w:rsid w:val="16214F28"/>
    <w:rsid w:val="1621599F"/>
    <w:rsid w:val="162C6AF9"/>
    <w:rsid w:val="16311D39"/>
    <w:rsid w:val="165731CD"/>
    <w:rsid w:val="16576F5F"/>
    <w:rsid w:val="165F077A"/>
    <w:rsid w:val="1662388A"/>
    <w:rsid w:val="167A3EF6"/>
    <w:rsid w:val="16A0364E"/>
    <w:rsid w:val="16A67437"/>
    <w:rsid w:val="16BB7302"/>
    <w:rsid w:val="16C4699D"/>
    <w:rsid w:val="16CE6B9E"/>
    <w:rsid w:val="16D72091"/>
    <w:rsid w:val="16E13640"/>
    <w:rsid w:val="16E25C24"/>
    <w:rsid w:val="16E66CA8"/>
    <w:rsid w:val="16F04A24"/>
    <w:rsid w:val="16FC0EBA"/>
    <w:rsid w:val="17110C71"/>
    <w:rsid w:val="171B2DF6"/>
    <w:rsid w:val="1724321D"/>
    <w:rsid w:val="172B5F11"/>
    <w:rsid w:val="17343EB7"/>
    <w:rsid w:val="1740460A"/>
    <w:rsid w:val="17682D59"/>
    <w:rsid w:val="177C48F4"/>
    <w:rsid w:val="178766DD"/>
    <w:rsid w:val="179C10CE"/>
    <w:rsid w:val="179E57D5"/>
    <w:rsid w:val="17A50911"/>
    <w:rsid w:val="17A858A7"/>
    <w:rsid w:val="17D350B0"/>
    <w:rsid w:val="17E07B9B"/>
    <w:rsid w:val="180504AC"/>
    <w:rsid w:val="180970F2"/>
    <w:rsid w:val="180B5027"/>
    <w:rsid w:val="180C3542"/>
    <w:rsid w:val="180E0B7B"/>
    <w:rsid w:val="181B2628"/>
    <w:rsid w:val="183323C1"/>
    <w:rsid w:val="184F7F30"/>
    <w:rsid w:val="185409F3"/>
    <w:rsid w:val="1855658C"/>
    <w:rsid w:val="18591148"/>
    <w:rsid w:val="185A5E86"/>
    <w:rsid w:val="185D2F9A"/>
    <w:rsid w:val="187F19BC"/>
    <w:rsid w:val="188146C9"/>
    <w:rsid w:val="18820C34"/>
    <w:rsid w:val="189C5379"/>
    <w:rsid w:val="18A137CE"/>
    <w:rsid w:val="18A1557C"/>
    <w:rsid w:val="18D55226"/>
    <w:rsid w:val="18EE5509"/>
    <w:rsid w:val="18F554CB"/>
    <w:rsid w:val="190170CA"/>
    <w:rsid w:val="19635495"/>
    <w:rsid w:val="19675A45"/>
    <w:rsid w:val="197215F1"/>
    <w:rsid w:val="197807B5"/>
    <w:rsid w:val="19884EE9"/>
    <w:rsid w:val="198D4DBD"/>
    <w:rsid w:val="19940C3D"/>
    <w:rsid w:val="1997703B"/>
    <w:rsid w:val="199E698C"/>
    <w:rsid w:val="19BC3B1E"/>
    <w:rsid w:val="19BD0194"/>
    <w:rsid w:val="19CD414F"/>
    <w:rsid w:val="19DE048A"/>
    <w:rsid w:val="19EB369A"/>
    <w:rsid w:val="19F87F30"/>
    <w:rsid w:val="1A01488A"/>
    <w:rsid w:val="1A0160D9"/>
    <w:rsid w:val="1A080C3D"/>
    <w:rsid w:val="1A0A7151"/>
    <w:rsid w:val="1A290388"/>
    <w:rsid w:val="1A352EE0"/>
    <w:rsid w:val="1A482DEF"/>
    <w:rsid w:val="1A4C59BC"/>
    <w:rsid w:val="1A7647E7"/>
    <w:rsid w:val="1A7D69F5"/>
    <w:rsid w:val="1AA04BCE"/>
    <w:rsid w:val="1AAE5081"/>
    <w:rsid w:val="1AB765E6"/>
    <w:rsid w:val="1ABA46D4"/>
    <w:rsid w:val="1ACE75FA"/>
    <w:rsid w:val="1AD045D2"/>
    <w:rsid w:val="1AE84EFE"/>
    <w:rsid w:val="1AF220BF"/>
    <w:rsid w:val="1AF51BB0"/>
    <w:rsid w:val="1AF71484"/>
    <w:rsid w:val="1AFA5FB3"/>
    <w:rsid w:val="1B010554"/>
    <w:rsid w:val="1B046575"/>
    <w:rsid w:val="1B08361A"/>
    <w:rsid w:val="1B0A74B1"/>
    <w:rsid w:val="1B2D6039"/>
    <w:rsid w:val="1B3A3153"/>
    <w:rsid w:val="1B430B6D"/>
    <w:rsid w:val="1B485930"/>
    <w:rsid w:val="1B493023"/>
    <w:rsid w:val="1B5D5A71"/>
    <w:rsid w:val="1B821EC4"/>
    <w:rsid w:val="1B8A28AB"/>
    <w:rsid w:val="1BB031CF"/>
    <w:rsid w:val="1BBB4BA7"/>
    <w:rsid w:val="1BBD1DA1"/>
    <w:rsid w:val="1BCB25F3"/>
    <w:rsid w:val="1BD13FF9"/>
    <w:rsid w:val="1BED5E92"/>
    <w:rsid w:val="1BEE1992"/>
    <w:rsid w:val="1BEF2AA3"/>
    <w:rsid w:val="1BF61C33"/>
    <w:rsid w:val="1C1766FA"/>
    <w:rsid w:val="1C336C47"/>
    <w:rsid w:val="1C3B1844"/>
    <w:rsid w:val="1C4E1577"/>
    <w:rsid w:val="1C5035E8"/>
    <w:rsid w:val="1C5546B6"/>
    <w:rsid w:val="1C671E4E"/>
    <w:rsid w:val="1C79747B"/>
    <w:rsid w:val="1C8651B5"/>
    <w:rsid w:val="1C8A6328"/>
    <w:rsid w:val="1C8B6E63"/>
    <w:rsid w:val="1CAA7ACF"/>
    <w:rsid w:val="1CB14A11"/>
    <w:rsid w:val="1CB57848"/>
    <w:rsid w:val="1CB6711D"/>
    <w:rsid w:val="1CC14087"/>
    <w:rsid w:val="1CC45CDD"/>
    <w:rsid w:val="1CDA105D"/>
    <w:rsid w:val="1CEE2D5A"/>
    <w:rsid w:val="1CF85987"/>
    <w:rsid w:val="1D05145A"/>
    <w:rsid w:val="1D26311F"/>
    <w:rsid w:val="1D292EB6"/>
    <w:rsid w:val="1D2B3667"/>
    <w:rsid w:val="1D4C68D0"/>
    <w:rsid w:val="1D5F7214"/>
    <w:rsid w:val="1D683D71"/>
    <w:rsid w:val="1D6F5C49"/>
    <w:rsid w:val="1D8452C1"/>
    <w:rsid w:val="1D88213D"/>
    <w:rsid w:val="1D9054ED"/>
    <w:rsid w:val="1D943902"/>
    <w:rsid w:val="1D9C4722"/>
    <w:rsid w:val="1DB25805"/>
    <w:rsid w:val="1DD2239A"/>
    <w:rsid w:val="1DF47B1E"/>
    <w:rsid w:val="1DF60D48"/>
    <w:rsid w:val="1DF75C3F"/>
    <w:rsid w:val="1DF919B7"/>
    <w:rsid w:val="1E0813F6"/>
    <w:rsid w:val="1E086BAA"/>
    <w:rsid w:val="1E0B2C54"/>
    <w:rsid w:val="1E0F5CE1"/>
    <w:rsid w:val="1E116D00"/>
    <w:rsid w:val="1E19323E"/>
    <w:rsid w:val="1E1E31CB"/>
    <w:rsid w:val="1E207668"/>
    <w:rsid w:val="1E764DB5"/>
    <w:rsid w:val="1E7B6870"/>
    <w:rsid w:val="1E830C89"/>
    <w:rsid w:val="1E90231B"/>
    <w:rsid w:val="1E94231B"/>
    <w:rsid w:val="1EA071F6"/>
    <w:rsid w:val="1EA72126"/>
    <w:rsid w:val="1ED25B11"/>
    <w:rsid w:val="1F0638F5"/>
    <w:rsid w:val="1F1D203A"/>
    <w:rsid w:val="1F274302"/>
    <w:rsid w:val="1F372797"/>
    <w:rsid w:val="1F3A2F0A"/>
    <w:rsid w:val="1F4909C1"/>
    <w:rsid w:val="1F4D7D0D"/>
    <w:rsid w:val="1F5763D2"/>
    <w:rsid w:val="1F5F0895"/>
    <w:rsid w:val="1F5F4F0F"/>
    <w:rsid w:val="1F6317DE"/>
    <w:rsid w:val="1F6B41EE"/>
    <w:rsid w:val="1F7C03BA"/>
    <w:rsid w:val="1F7E2174"/>
    <w:rsid w:val="1F7E7794"/>
    <w:rsid w:val="1F8359DC"/>
    <w:rsid w:val="1F941997"/>
    <w:rsid w:val="1F9663B5"/>
    <w:rsid w:val="1FA22AA3"/>
    <w:rsid w:val="1FBA62B1"/>
    <w:rsid w:val="1FC15272"/>
    <w:rsid w:val="1FC658C9"/>
    <w:rsid w:val="1FCD72A0"/>
    <w:rsid w:val="1FD44EAF"/>
    <w:rsid w:val="1FD628C7"/>
    <w:rsid w:val="1FDB794D"/>
    <w:rsid w:val="1FE60B76"/>
    <w:rsid w:val="1FE741BD"/>
    <w:rsid w:val="1FEA7809"/>
    <w:rsid w:val="1FEB532F"/>
    <w:rsid w:val="1FEE0565"/>
    <w:rsid w:val="1FEE268F"/>
    <w:rsid w:val="1FF35445"/>
    <w:rsid w:val="200B777F"/>
    <w:rsid w:val="201129F7"/>
    <w:rsid w:val="201953DE"/>
    <w:rsid w:val="20251C09"/>
    <w:rsid w:val="202F16C0"/>
    <w:rsid w:val="20417A13"/>
    <w:rsid w:val="20561E57"/>
    <w:rsid w:val="20707A39"/>
    <w:rsid w:val="209E2B9D"/>
    <w:rsid w:val="20A0611A"/>
    <w:rsid w:val="20A867A9"/>
    <w:rsid w:val="20B019B5"/>
    <w:rsid w:val="20B42736"/>
    <w:rsid w:val="20B54929"/>
    <w:rsid w:val="20B6263C"/>
    <w:rsid w:val="20BA67C4"/>
    <w:rsid w:val="20BB3499"/>
    <w:rsid w:val="20BE7747"/>
    <w:rsid w:val="20CC5161"/>
    <w:rsid w:val="20CE3412"/>
    <w:rsid w:val="20D2611E"/>
    <w:rsid w:val="20D44015"/>
    <w:rsid w:val="20E71F9A"/>
    <w:rsid w:val="20EE50D7"/>
    <w:rsid w:val="20F14BC7"/>
    <w:rsid w:val="210076BC"/>
    <w:rsid w:val="211422F1"/>
    <w:rsid w:val="21154D5A"/>
    <w:rsid w:val="211C7E6A"/>
    <w:rsid w:val="2120204D"/>
    <w:rsid w:val="2121010E"/>
    <w:rsid w:val="212208DA"/>
    <w:rsid w:val="21260D15"/>
    <w:rsid w:val="212862D1"/>
    <w:rsid w:val="21330813"/>
    <w:rsid w:val="21417858"/>
    <w:rsid w:val="214931F1"/>
    <w:rsid w:val="214E201A"/>
    <w:rsid w:val="214E5B76"/>
    <w:rsid w:val="21505D92"/>
    <w:rsid w:val="215C0EAE"/>
    <w:rsid w:val="216C636B"/>
    <w:rsid w:val="21717AB6"/>
    <w:rsid w:val="21920158"/>
    <w:rsid w:val="21975C5B"/>
    <w:rsid w:val="219D2EB5"/>
    <w:rsid w:val="21A34113"/>
    <w:rsid w:val="21A75B16"/>
    <w:rsid w:val="21BD3A87"/>
    <w:rsid w:val="21C347B6"/>
    <w:rsid w:val="21C61F6D"/>
    <w:rsid w:val="21C916A0"/>
    <w:rsid w:val="21CA52C6"/>
    <w:rsid w:val="21DE0468"/>
    <w:rsid w:val="21E976A3"/>
    <w:rsid w:val="220225D4"/>
    <w:rsid w:val="220C11EC"/>
    <w:rsid w:val="2240058D"/>
    <w:rsid w:val="22596EC8"/>
    <w:rsid w:val="225C42C2"/>
    <w:rsid w:val="226678FE"/>
    <w:rsid w:val="22714212"/>
    <w:rsid w:val="22A55C69"/>
    <w:rsid w:val="22AF4D3A"/>
    <w:rsid w:val="22DA64B1"/>
    <w:rsid w:val="22E639B9"/>
    <w:rsid w:val="22F3519B"/>
    <w:rsid w:val="23016C4E"/>
    <w:rsid w:val="230F65FB"/>
    <w:rsid w:val="233D0598"/>
    <w:rsid w:val="23455C25"/>
    <w:rsid w:val="234E6301"/>
    <w:rsid w:val="23576489"/>
    <w:rsid w:val="23675615"/>
    <w:rsid w:val="23715D17"/>
    <w:rsid w:val="237E4C0E"/>
    <w:rsid w:val="23863CED"/>
    <w:rsid w:val="23871813"/>
    <w:rsid w:val="238910E7"/>
    <w:rsid w:val="238B7BC1"/>
    <w:rsid w:val="239B5CFE"/>
    <w:rsid w:val="23A21059"/>
    <w:rsid w:val="23A5021D"/>
    <w:rsid w:val="23B613FB"/>
    <w:rsid w:val="23C94B9E"/>
    <w:rsid w:val="24062738"/>
    <w:rsid w:val="241330BC"/>
    <w:rsid w:val="2418246B"/>
    <w:rsid w:val="24311EAA"/>
    <w:rsid w:val="24325FFD"/>
    <w:rsid w:val="24457704"/>
    <w:rsid w:val="24483550"/>
    <w:rsid w:val="244E12D3"/>
    <w:rsid w:val="245636BF"/>
    <w:rsid w:val="245D650D"/>
    <w:rsid w:val="246062EC"/>
    <w:rsid w:val="247E5C56"/>
    <w:rsid w:val="248649DE"/>
    <w:rsid w:val="248F6BD1"/>
    <w:rsid w:val="24945366"/>
    <w:rsid w:val="24A546FD"/>
    <w:rsid w:val="24AF1021"/>
    <w:rsid w:val="24AF2564"/>
    <w:rsid w:val="24BB1EDB"/>
    <w:rsid w:val="24C271F2"/>
    <w:rsid w:val="24CA20F9"/>
    <w:rsid w:val="24CA5E5B"/>
    <w:rsid w:val="24D80578"/>
    <w:rsid w:val="24E00A79"/>
    <w:rsid w:val="24E1783F"/>
    <w:rsid w:val="24E76A0D"/>
    <w:rsid w:val="24E862E1"/>
    <w:rsid w:val="24EF141E"/>
    <w:rsid w:val="24FA5429"/>
    <w:rsid w:val="24FB1784"/>
    <w:rsid w:val="24FD2F00"/>
    <w:rsid w:val="2513739E"/>
    <w:rsid w:val="251470D6"/>
    <w:rsid w:val="25315EDA"/>
    <w:rsid w:val="253D03DB"/>
    <w:rsid w:val="256E3B98"/>
    <w:rsid w:val="256E60D3"/>
    <w:rsid w:val="25741C05"/>
    <w:rsid w:val="257E15A4"/>
    <w:rsid w:val="2584425C"/>
    <w:rsid w:val="25AB6499"/>
    <w:rsid w:val="25B34B41"/>
    <w:rsid w:val="25B5571C"/>
    <w:rsid w:val="25BA566B"/>
    <w:rsid w:val="25BA7CC0"/>
    <w:rsid w:val="25CF3C34"/>
    <w:rsid w:val="25D557B2"/>
    <w:rsid w:val="25D70F30"/>
    <w:rsid w:val="25DA20CE"/>
    <w:rsid w:val="25DB5773"/>
    <w:rsid w:val="25F202D7"/>
    <w:rsid w:val="25F27CC9"/>
    <w:rsid w:val="25FC7803"/>
    <w:rsid w:val="26105AEF"/>
    <w:rsid w:val="2624159B"/>
    <w:rsid w:val="26272215"/>
    <w:rsid w:val="263733E1"/>
    <w:rsid w:val="26486E0F"/>
    <w:rsid w:val="264B4D7A"/>
    <w:rsid w:val="265E2CFF"/>
    <w:rsid w:val="266079AB"/>
    <w:rsid w:val="26AB17F3"/>
    <w:rsid w:val="26C70F75"/>
    <w:rsid w:val="26CD578F"/>
    <w:rsid w:val="26D926BA"/>
    <w:rsid w:val="26DD1E76"/>
    <w:rsid w:val="26EA788C"/>
    <w:rsid w:val="26F71872"/>
    <w:rsid w:val="27090F79"/>
    <w:rsid w:val="27201690"/>
    <w:rsid w:val="27384086"/>
    <w:rsid w:val="274403BD"/>
    <w:rsid w:val="27441EF5"/>
    <w:rsid w:val="2756665E"/>
    <w:rsid w:val="275859A0"/>
    <w:rsid w:val="276365F0"/>
    <w:rsid w:val="2767173F"/>
    <w:rsid w:val="27910EB2"/>
    <w:rsid w:val="27982936"/>
    <w:rsid w:val="27B93A8B"/>
    <w:rsid w:val="27C21670"/>
    <w:rsid w:val="27E14CE9"/>
    <w:rsid w:val="27E5769C"/>
    <w:rsid w:val="27E86D24"/>
    <w:rsid w:val="27F84A8D"/>
    <w:rsid w:val="28025865"/>
    <w:rsid w:val="281C705A"/>
    <w:rsid w:val="28227A91"/>
    <w:rsid w:val="282E6701"/>
    <w:rsid w:val="284F6DA3"/>
    <w:rsid w:val="2859377E"/>
    <w:rsid w:val="2886653D"/>
    <w:rsid w:val="288A7DDB"/>
    <w:rsid w:val="28920A3E"/>
    <w:rsid w:val="28942025"/>
    <w:rsid w:val="289C366A"/>
    <w:rsid w:val="28A05E3D"/>
    <w:rsid w:val="28A2379F"/>
    <w:rsid w:val="28A26E6A"/>
    <w:rsid w:val="28AB6C04"/>
    <w:rsid w:val="28CC3926"/>
    <w:rsid w:val="28F773BC"/>
    <w:rsid w:val="28FB6B38"/>
    <w:rsid w:val="293049F7"/>
    <w:rsid w:val="293608D4"/>
    <w:rsid w:val="293B10D5"/>
    <w:rsid w:val="29422522"/>
    <w:rsid w:val="294F692F"/>
    <w:rsid w:val="297A07CE"/>
    <w:rsid w:val="29A65F05"/>
    <w:rsid w:val="29AD25A6"/>
    <w:rsid w:val="29B721BA"/>
    <w:rsid w:val="29BD5F8E"/>
    <w:rsid w:val="29D63406"/>
    <w:rsid w:val="29D90492"/>
    <w:rsid w:val="29DC44E1"/>
    <w:rsid w:val="29E51041"/>
    <w:rsid w:val="29EC06E3"/>
    <w:rsid w:val="29F87072"/>
    <w:rsid w:val="2A005E7B"/>
    <w:rsid w:val="2A1216E0"/>
    <w:rsid w:val="2A157B78"/>
    <w:rsid w:val="2A2B24D7"/>
    <w:rsid w:val="2A461540"/>
    <w:rsid w:val="2A48131D"/>
    <w:rsid w:val="2A515E1B"/>
    <w:rsid w:val="2A5F71FE"/>
    <w:rsid w:val="2A652C58"/>
    <w:rsid w:val="2A7E571E"/>
    <w:rsid w:val="2A8F082C"/>
    <w:rsid w:val="2A9C3DF6"/>
    <w:rsid w:val="2AA35AC5"/>
    <w:rsid w:val="2AAF1D7B"/>
    <w:rsid w:val="2ADD2C5F"/>
    <w:rsid w:val="2AEB08D9"/>
    <w:rsid w:val="2AF66BF8"/>
    <w:rsid w:val="2AFF3886"/>
    <w:rsid w:val="2B065713"/>
    <w:rsid w:val="2B110340"/>
    <w:rsid w:val="2B111911"/>
    <w:rsid w:val="2B2067D5"/>
    <w:rsid w:val="2B2E5EC6"/>
    <w:rsid w:val="2B472139"/>
    <w:rsid w:val="2B4D50F0"/>
    <w:rsid w:val="2B5D6A7B"/>
    <w:rsid w:val="2B724D2B"/>
    <w:rsid w:val="2B795CAE"/>
    <w:rsid w:val="2B796202"/>
    <w:rsid w:val="2B7D38E0"/>
    <w:rsid w:val="2B831DAE"/>
    <w:rsid w:val="2B85488A"/>
    <w:rsid w:val="2B8A1EA0"/>
    <w:rsid w:val="2BAA2542"/>
    <w:rsid w:val="2BAE50BE"/>
    <w:rsid w:val="2BB1567F"/>
    <w:rsid w:val="2BC27109"/>
    <w:rsid w:val="2BD50E4A"/>
    <w:rsid w:val="2BD61589"/>
    <w:rsid w:val="2C130E39"/>
    <w:rsid w:val="2C131E96"/>
    <w:rsid w:val="2C1A44FF"/>
    <w:rsid w:val="2C212804"/>
    <w:rsid w:val="2C294661"/>
    <w:rsid w:val="2C2F4403"/>
    <w:rsid w:val="2C2F66DC"/>
    <w:rsid w:val="2C3055C4"/>
    <w:rsid w:val="2C3623FB"/>
    <w:rsid w:val="2C3B13EC"/>
    <w:rsid w:val="2C410323"/>
    <w:rsid w:val="2C444D5A"/>
    <w:rsid w:val="2C4464F3"/>
    <w:rsid w:val="2C5A1485"/>
    <w:rsid w:val="2C5F157F"/>
    <w:rsid w:val="2C7843EE"/>
    <w:rsid w:val="2C826F6E"/>
    <w:rsid w:val="2C8D1C48"/>
    <w:rsid w:val="2C9C7EDE"/>
    <w:rsid w:val="2CA97784"/>
    <w:rsid w:val="2CCA198D"/>
    <w:rsid w:val="2CCF6918"/>
    <w:rsid w:val="2CE03284"/>
    <w:rsid w:val="2CE83322"/>
    <w:rsid w:val="2CF80CFB"/>
    <w:rsid w:val="2D077DA1"/>
    <w:rsid w:val="2D0E383D"/>
    <w:rsid w:val="2D23435A"/>
    <w:rsid w:val="2D346BD8"/>
    <w:rsid w:val="2D430559"/>
    <w:rsid w:val="2D555501"/>
    <w:rsid w:val="2D746964"/>
    <w:rsid w:val="2D856A36"/>
    <w:rsid w:val="2D8A262B"/>
    <w:rsid w:val="2D937D4C"/>
    <w:rsid w:val="2D9C5EBB"/>
    <w:rsid w:val="2D9D410D"/>
    <w:rsid w:val="2DBA631F"/>
    <w:rsid w:val="2DDB5C80"/>
    <w:rsid w:val="2DEE6E10"/>
    <w:rsid w:val="2DF50724"/>
    <w:rsid w:val="2DF53FBC"/>
    <w:rsid w:val="2DFB0C8E"/>
    <w:rsid w:val="2E024EC0"/>
    <w:rsid w:val="2E026666"/>
    <w:rsid w:val="2E046E0C"/>
    <w:rsid w:val="2E053A60"/>
    <w:rsid w:val="2E0D055A"/>
    <w:rsid w:val="2E18301C"/>
    <w:rsid w:val="2E2652C2"/>
    <w:rsid w:val="2E334350"/>
    <w:rsid w:val="2E342143"/>
    <w:rsid w:val="2E5A0B79"/>
    <w:rsid w:val="2E5A3081"/>
    <w:rsid w:val="2E621008"/>
    <w:rsid w:val="2E690493"/>
    <w:rsid w:val="2E7757D0"/>
    <w:rsid w:val="2E920ED4"/>
    <w:rsid w:val="2E9A77AF"/>
    <w:rsid w:val="2E9C43C4"/>
    <w:rsid w:val="2E9F6AC8"/>
    <w:rsid w:val="2EB559B7"/>
    <w:rsid w:val="2EB97CA5"/>
    <w:rsid w:val="2EBF677E"/>
    <w:rsid w:val="2EC351CA"/>
    <w:rsid w:val="2EDB702F"/>
    <w:rsid w:val="2EDF2503"/>
    <w:rsid w:val="2F222A0B"/>
    <w:rsid w:val="2F34075D"/>
    <w:rsid w:val="2F46489B"/>
    <w:rsid w:val="2F5B1672"/>
    <w:rsid w:val="2F634EE2"/>
    <w:rsid w:val="2F802C46"/>
    <w:rsid w:val="2F8A6913"/>
    <w:rsid w:val="2F947791"/>
    <w:rsid w:val="2FA86D99"/>
    <w:rsid w:val="2FBC7F1D"/>
    <w:rsid w:val="2FC0139D"/>
    <w:rsid w:val="2FD30F82"/>
    <w:rsid w:val="2FD44032"/>
    <w:rsid w:val="2FD865D9"/>
    <w:rsid w:val="2FDA33E0"/>
    <w:rsid w:val="2FDC319C"/>
    <w:rsid w:val="2FE51E0D"/>
    <w:rsid w:val="2FED0C50"/>
    <w:rsid w:val="2FF4102F"/>
    <w:rsid w:val="2FF81ACE"/>
    <w:rsid w:val="2FFC06EF"/>
    <w:rsid w:val="300D507E"/>
    <w:rsid w:val="30334092"/>
    <w:rsid w:val="3051380C"/>
    <w:rsid w:val="307C040D"/>
    <w:rsid w:val="307F5D4C"/>
    <w:rsid w:val="308275EA"/>
    <w:rsid w:val="30876040"/>
    <w:rsid w:val="308D514E"/>
    <w:rsid w:val="30A7635B"/>
    <w:rsid w:val="30AD0FC8"/>
    <w:rsid w:val="30BB1AC1"/>
    <w:rsid w:val="30C0712F"/>
    <w:rsid w:val="30C365CE"/>
    <w:rsid w:val="30D1133B"/>
    <w:rsid w:val="310944F3"/>
    <w:rsid w:val="310D0412"/>
    <w:rsid w:val="312B1A2F"/>
    <w:rsid w:val="31335C52"/>
    <w:rsid w:val="313431CA"/>
    <w:rsid w:val="313E5C07"/>
    <w:rsid w:val="314A26D1"/>
    <w:rsid w:val="315E2A5C"/>
    <w:rsid w:val="31683980"/>
    <w:rsid w:val="31701B38"/>
    <w:rsid w:val="317C64C9"/>
    <w:rsid w:val="31943A79"/>
    <w:rsid w:val="31A31F0E"/>
    <w:rsid w:val="31A551E2"/>
    <w:rsid w:val="31B3446B"/>
    <w:rsid w:val="31B96FCE"/>
    <w:rsid w:val="31C854D0"/>
    <w:rsid w:val="31D112FC"/>
    <w:rsid w:val="31D36B71"/>
    <w:rsid w:val="31F44517"/>
    <w:rsid w:val="31FB6DB6"/>
    <w:rsid w:val="31FD161E"/>
    <w:rsid w:val="31FE0EF2"/>
    <w:rsid w:val="320C2DF6"/>
    <w:rsid w:val="32421947"/>
    <w:rsid w:val="324C6101"/>
    <w:rsid w:val="32606FDC"/>
    <w:rsid w:val="326C730B"/>
    <w:rsid w:val="32717916"/>
    <w:rsid w:val="327F07E8"/>
    <w:rsid w:val="327F3329"/>
    <w:rsid w:val="32890C21"/>
    <w:rsid w:val="328D1E93"/>
    <w:rsid w:val="32935D9A"/>
    <w:rsid w:val="329F4483"/>
    <w:rsid w:val="32C22C80"/>
    <w:rsid w:val="32C57C62"/>
    <w:rsid w:val="32C83163"/>
    <w:rsid w:val="32C87D7A"/>
    <w:rsid w:val="32D00AE0"/>
    <w:rsid w:val="32D77D91"/>
    <w:rsid w:val="32DD31FD"/>
    <w:rsid w:val="32E20814"/>
    <w:rsid w:val="32FA790B"/>
    <w:rsid w:val="332108B6"/>
    <w:rsid w:val="332B1ABF"/>
    <w:rsid w:val="333A41AC"/>
    <w:rsid w:val="33460DA3"/>
    <w:rsid w:val="334963B1"/>
    <w:rsid w:val="334E397C"/>
    <w:rsid w:val="336631F3"/>
    <w:rsid w:val="33784AD8"/>
    <w:rsid w:val="337C2A16"/>
    <w:rsid w:val="3392223A"/>
    <w:rsid w:val="339C32FF"/>
    <w:rsid w:val="33A94587"/>
    <w:rsid w:val="33AB50A9"/>
    <w:rsid w:val="33B64B03"/>
    <w:rsid w:val="33C76B68"/>
    <w:rsid w:val="33D266B8"/>
    <w:rsid w:val="33D6159D"/>
    <w:rsid w:val="33DE547F"/>
    <w:rsid w:val="33EF2883"/>
    <w:rsid w:val="340D32A4"/>
    <w:rsid w:val="34135945"/>
    <w:rsid w:val="341D2935"/>
    <w:rsid w:val="3423660A"/>
    <w:rsid w:val="34256C0A"/>
    <w:rsid w:val="342A73B3"/>
    <w:rsid w:val="3437641C"/>
    <w:rsid w:val="3450735E"/>
    <w:rsid w:val="345C31CC"/>
    <w:rsid w:val="346D235F"/>
    <w:rsid w:val="34744F01"/>
    <w:rsid w:val="34814DB3"/>
    <w:rsid w:val="34844152"/>
    <w:rsid w:val="349879D5"/>
    <w:rsid w:val="34A26271"/>
    <w:rsid w:val="34AA5B2B"/>
    <w:rsid w:val="34AB28A6"/>
    <w:rsid w:val="34AC10D9"/>
    <w:rsid w:val="34AD1A42"/>
    <w:rsid w:val="34B31C62"/>
    <w:rsid w:val="34C26737"/>
    <w:rsid w:val="34C86666"/>
    <w:rsid w:val="34E00F96"/>
    <w:rsid w:val="34F32864"/>
    <w:rsid w:val="34F760D5"/>
    <w:rsid w:val="350827AC"/>
    <w:rsid w:val="35095FB6"/>
    <w:rsid w:val="350C361A"/>
    <w:rsid w:val="353C367C"/>
    <w:rsid w:val="353C420B"/>
    <w:rsid w:val="354F481A"/>
    <w:rsid w:val="35527ED3"/>
    <w:rsid w:val="356436B5"/>
    <w:rsid w:val="35976F45"/>
    <w:rsid w:val="3599165E"/>
    <w:rsid w:val="359A7184"/>
    <w:rsid w:val="35BA1854"/>
    <w:rsid w:val="35F530AD"/>
    <w:rsid w:val="36015455"/>
    <w:rsid w:val="36213401"/>
    <w:rsid w:val="364A19E2"/>
    <w:rsid w:val="365437D6"/>
    <w:rsid w:val="36554D5F"/>
    <w:rsid w:val="3673397C"/>
    <w:rsid w:val="36857E34"/>
    <w:rsid w:val="368F0CB2"/>
    <w:rsid w:val="36A35226"/>
    <w:rsid w:val="36A77DAA"/>
    <w:rsid w:val="36B86141"/>
    <w:rsid w:val="36C26827"/>
    <w:rsid w:val="36C81662"/>
    <w:rsid w:val="36C914EA"/>
    <w:rsid w:val="373F5FFA"/>
    <w:rsid w:val="37430D25"/>
    <w:rsid w:val="374601D9"/>
    <w:rsid w:val="37495DEC"/>
    <w:rsid w:val="37520EE8"/>
    <w:rsid w:val="376A3770"/>
    <w:rsid w:val="37887BDC"/>
    <w:rsid w:val="378B76CC"/>
    <w:rsid w:val="378F51B7"/>
    <w:rsid w:val="379A346B"/>
    <w:rsid w:val="379B79CD"/>
    <w:rsid w:val="379C71E3"/>
    <w:rsid w:val="37BA2F1E"/>
    <w:rsid w:val="37C07023"/>
    <w:rsid w:val="37C369C1"/>
    <w:rsid w:val="37C624D9"/>
    <w:rsid w:val="37D4129F"/>
    <w:rsid w:val="37E00D3A"/>
    <w:rsid w:val="37E172EC"/>
    <w:rsid w:val="37F56D87"/>
    <w:rsid w:val="37F92E1B"/>
    <w:rsid w:val="37FC2D9D"/>
    <w:rsid w:val="38056712"/>
    <w:rsid w:val="38172D0E"/>
    <w:rsid w:val="382316B2"/>
    <w:rsid w:val="384004B6"/>
    <w:rsid w:val="38520721"/>
    <w:rsid w:val="385A713E"/>
    <w:rsid w:val="38620E30"/>
    <w:rsid w:val="386C070B"/>
    <w:rsid w:val="38721539"/>
    <w:rsid w:val="38770C9E"/>
    <w:rsid w:val="387E49CA"/>
    <w:rsid w:val="38804D57"/>
    <w:rsid w:val="38966328"/>
    <w:rsid w:val="389E51DD"/>
    <w:rsid w:val="389F6A15"/>
    <w:rsid w:val="38AF02D2"/>
    <w:rsid w:val="38C43C6E"/>
    <w:rsid w:val="38C5276A"/>
    <w:rsid w:val="38C84008"/>
    <w:rsid w:val="38E2523A"/>
    <w:rsid w:val="38F372D7"/>
    <w:rsid w:val="38FB1854"/>
    <w:rsid w:val="390A02DA"/>
    <w:rsid w:val="39111E53"/>
    <w:rsid w:val="39243934"/>
    <w:rsid w:val="3930052B"/>
    <w:rsid w:val="393C6103"/>
    <w:rsid w:val="394075EF"/>
    <w:rsid w:val="39422327"/>
    <w:rsid w:val="3958001D"/>
    <w:rsid w:val="39642A9D"/>
    <w:rsid w:val="396D7300"/>
    <w:rsid w:val="39842F41"/>
    <w:rsid w:val="39972358"/>
    <w:rsid w:val="399A1E48"/>
    <w:rsid w:val="399D30BD"/>
    <w:rsid w:val="399D36E6"/>
    <w:rsid w:val="39A36EB5"/>
    <w:rsid w:val="39B5543D"/>
    <w:rsid w:val="39BE48C9"/>
    <w:rsid w:val="39C12F31"/>
    <w:rsid w:val="39C72511"/>
    <w:rsid w:val="39CC367A"/>
    <w:rsid w:val="39DD1C11"/>
    <w:rsid w:val="39E84962"/>
    <w:rsid w:val="39EF05DD"/>
    <w:rsid w:val="39F103EB"/>
    <w:rsid w:val="3A0B0650"/>
    <w:rsid w:val="3A1D283C"/>
    <w:rsid w:val="3A1E6563"/>
    <w:rsid w:val="3A231E3E"/>
    <w:rsid w:val="3A246BDD"/>
    <w:rsid w:val="3A2636DC"/>
    <w:rsid w:val="3A293ECC"/>
    <w:rsid w:val="3A3556CD"/>
    <w:rsid w:val="3A410516"/>
    <w:rsid w:val="3A6A7A6C"/>
    <w:rsid w:val="3A742A0B"/>
    <w:rsid w:val="3A7E0E22"/>
    <w:rsid w:val="3A8669BD"/>
    <w:rsid w:val="3AA12D62"/>
    <w:rsid w:val="3ABE2554"/>
    <w:rsid w:val="3AC535BF"/>
    <w:rsid w:val="3AD76784"/>
    <w:rsid w:val="3ADB2718"/>
    <w:rsid w:val="3ADC602C"/>
    <w:rsid w:val="3AE25855"/>
    <w:rsid w:val="3AE432DE"/>
    <w:rsid w:val="3AF0662A"/>
    <w:rsid w:val="3AF85B49"/>
    <w:rsid w:val="3B0949EF"/>
    <w:rsid w:val="3B1A2049"/>
    <w:rsid w:val="3B1D1724"/>
    <w:rsid w:val="3B2C6AD0"/>
    <w:rsid w:val="3B3337EC"/>
    <w:rsid w:val="3B3B31B7"/>
    <w:rsid w:val="3B411F9E"/>
    <w:rsid w:val="3B543FBF"/>
    <w:rsid w:val="3B5D7034"/>
    <w:rsid w:val="3B5F117C"/>
    <w:rsid w:val="3B612539"/>
    <w:rsid w:val="3B7D37CF"/>
    <w:rsid w:val="3B7D3C98"/>
    <w:rsid w:val="3B9B783C"/>
    <w:rsid w:val="3BB86DBA"/>
    <w:rsid w:val="3BBA7EF5"/>
    <w:rsid w:val="3BBC2DB3"/>
    <w:rsid w:val="3BD553B9"/>
    <w:rsid w:val="3BDB0AC1"/>
    <w:rsid w:val="3BDB4052"/>
    <w:rsid w:val="3BE129D3"/>
    <w:rsid w:val="3BEB0739"/>
    <w:rsid w:val="3BF375EE"/>
    <w:rsid w:val="3BF45059"/>
    <w:rsid w:val="3C0B0C70"/>
    <w:rsid w:val="3C0D0437"/>
    <w:rsid w:val="3C0D4B53"/>
    <w:rsid w:val="3C247829"/>
    <w:rsid w:val="3C2D2B00"/>
    <w:rsid w:val="3C522566"/>
    <w:rsid w:val="3C5600FC"/>
    <w:rsid w:val="3C5F6A31"/>
    <w:rsid w:val="3C6459AE"/>
    <w:rsid w:val="3C77021F"/>
    <w:rsid w:val="3C777764"/>
    <w:rsid w:val="3C826F4F"/>
    <w:rsid w:val="3C925059"/>
    <w:rsid w:val="3CA0136A"/>
    <w:rsid w:val="3CA01523"/>
    <w:rsid w:val="3CA75548"/>
    <w:rsid w:val="3CAD4429"/>
    <w:rsid w:val="3CC33464"/>
    <w:rsid w:val="3CD325C5"/>
    <w:rsid w:val="3CE8111C"/>
    <w:rsid w:val="3CE82ECA"/>
    <w:rsid w:val="3CE872A7"/>
    <w:rsid w:val="3CF873C3"/>
    <w:rsid w:val="3D004DD1"/>
    <w:rsid w:val="3D0C2395"/>
    <w:rsid w:val="3D3D729B"/>
    <w:rsid w:val="3D632551"/>
    <w:rsid w:val="3D663711"/>
    <w:rsid w:val="3D75207B"/>
    <w:rsid w:val="3D953137"/>
    <w:rsid w:val="3D984ADC"/>
    <w:rsid w:val="3D9868D4"/>
    <w:rsid w:val="3DAE7442"/>
    <w:rsid w:val="3DB95D6D"/>
    <w:rsid w:val="3DC47F4A"/>
    <w:rsid w:val="3DC94667"/>
    <w:rsid w:val="3DD1434D"/>
    <w:rsid w:val="3DDA2813"/>
    <w:rsid w:val="3DEB52A6"/>
    <w:rsid w:val="3DEE4511"/>
    <w:rsid w:val="3E045BED"/>
    <w:rsid w:val="3E0B50C2"/>
    <w:rsid w:val="3E1C7E11"/>
    <w:rsid w:val="3E23065E"/>
    <w:rsid w:val="3E2A221B"/>
    <w:rsid w:val="3E55633E"/>
    <w:rsid w:val="3E5B0C18"/>
    <w:rsid w:val="3E600D59"/>
    <w:rsid w:val="3E642A25"/>
    <w:rsid w:val="3E7441A5"/>
    <w:rsid w:val="3E930198"/>
    <w:rsid w:val="3E974BA8"/>
    <w:rsid w:val="3EA177D5"/>
    <w:rsid w:val="3EAE3E3D"/>
    <w:rsid w:val="3EBC460F"/>
    <w:rsid w:val="3ED37612"/>
    <w:rsid w:val="3ED85CB7"/>
    <w:rsid w:val="3EE86C7F"/>
    <w:rsid w:val="3EEB27FE"/>
    <w:rsid w:val="3EF76C59"/>
    <w:rsid w:val="3F1A0767"/>
    <w:rsid w:val="3F253F62"/>
    <w:rsid w:val="3F4B6311"/>
    <w:rsid w:val="3F513661"/>
    <w:rsid w:val="3F632CDC"/>
    <w:rsid w:val="3F746B00"/>
    <w:rsid w:val="3F781C56"/>
    <w:rsid w:val="3F7846B5"/>
    <w:rsid w:val="3F7A60AE"/>
    <w:rsid w:val="3F8114FD"/>
    <w:rsid w:val="3F890995"/>
    <w:rsid w:val="3F900D8A"/>
    <w:rsid w:val="3F9209B6"/>
    <w:rsid w:val="3FA255B3"/>
    <w:rsid w:val="3FA44E04"/>
    <w:rsid w:val="3FAC01DF"/>
    <w:rsid w:val="3FAD1920"/>
    <w:rsid w:val="3FAE03FB"/>
    <w:rsid w:val="3FB51AE8"/>
    <w:rsid w:val="3FB6105E"/>
    <w:rsid w:val="3FBF1272"/>
    <w:rsid w:val="3FC27B53"/>
    <w:rsid w:val="3FE3596D"/>
    <w:rsid w:val="3FE839E6"/>
    <w:rsid w:val="3FFE2572"/>
    <w:rsid w:val="401D3D41"/>
    <w:rsid w:val="401E041B"/>
    <w:rsid w:val="4033098D"/>
    <w:rsid w:val="403A57EB"/>
    <w:rsid w:val="40431D49"/>
    <w:rsid w:val="404B7289"/>
    <w:rsid w:val="404E5DB0"/>
    <w:rsid w:val="40721429"/>
    <w:rsid w:val="4074513F"/>
    <w:rsid w:val="40806076"/>
    <w:rsid w:val="40842FF9"/>
    <w:rsid w:val="40935D33"/>
    <w:rsid w:val="409417F3"/>
    <w:rsid w:val="409E221E"/>
    <w:rsid w:val="40A55471"/>
    <w:rsid w:val="40AA37A1"/>
    <w:rsid w:val="40BB2DD0"/>
    <w:rsid w:val="40BE466E"/>
    <w:rsid w:val="40BE641C"/>
    <w:rsid w:val="40C01A74"/>
    <w:rsid w:val="40C04974"/>
    <w:rsid w:val="40DC5099"/>
    <w:rsid w:val="40DE038F"/>
    <w:rsid w:val="40E02836"/>
    <w:rsid w:val="40FB7670"/>
    <w:rsid w:val="40FC6C72"/>
    <w:rsid w:val="41117EC9"/>
    <w:rsid w:val="411B119D"/>
    <w:rsid w:val="411B56C4"/>
    <w:rsid w:val="414833DE"/>
    <w:rsid w:val="414B5D77"/>
    <w:rsid w:val="415470DE"/>
    <w:rsid w:val="41776EC9"/>
    <w:rsid w:val="417B430D"/>
    <w:rsid w:val="4180506F"/>
    <w:rsid w:val="419001E6"/>
    <w:rsid w:val="41920F76"/>
    <w:rsid w:val="41931657"/>
    <w:rsid w:val="41970A1B"/>
    <w:rsid w:val="41A01009"/>
    <w:rsid w:val="41D852BC"/>
    <w:rsid w:val="41E00614"/>
    <w:rsid w:val="41E464FA"/>
    <w:rsid w:val="41ED5228"/>
    <w:rsid w:val="420E2D13"/>
    <w:rsid w:val="42110402"/>
    <w:rsid w:val="423B42B2"/>
    <w:rsid w:val="42424E2B"/>
    <w:rsid w:val="426375A5"/>
    <w:rsid w:val="42642FF3"/>
    <w:rsid w:val="426E5C20"/>
    <w:rsid w:val="42784CF1"/>
    <w:rsid w:val="42805758"/>
    <w:rsid w:val="428216CB"/>
    <w:rsid w:val="42925977"/>
    <w:rsid w:val="42944CB7"/>
    <w:rsid w:val="429F227D"/>
    <w:rsid w:val="429F402B"/>
    <w:rsid w:val="42A07A35"/>
    <w:rsid w:val="42B31885"/>
    <w:rsid w:val="42C615B8"/>
    <w:rsid w:val="42DA11A1"/>
    <w:rsid w:val="42DC7C60"/>
    <w:rsid w:val="42EF4FB3"/>
    <w:rsid w:val="43090AF7"/>
    <w:rsid w:val="43234C5C"/>
    <w:rsid w:val="43236A0A"/>
    <w:rsid w:val="43282B8B"/>
    <w:rsid w:val="432F3601"/>
    <w:rsid w:val="43322182"/>
    <w:rsid w:val="43473F7B"/>
    <w:rsid w:val="434A21E9"/>
    <w:rsid w:val="4357300A"/>
    <w:rsid w:val="435766B4"/>
    <w:rsid w:val="435A0745"/>
    <w:rsid w:val="43727D1C"/>
    <w:rsid w:val="4387550A"/>
    <w:rsid w:val="4392187A"/>
    <w:rsid w:val="43A26684"/>
    <w:rsid w:val="43A54511"/>
    <w:rsid w:val="43AB50D1"/>
    <w:rsid w:val="43BB4E95"/>
    <w:rsid w:val="43C006FD"/>
    <w:rsid w:val="43C57772"/>
    <w:rsid w:val="43CE7979"/>
    <w:rsid w:val="43CF6B92"/>
    <w:rsid w:val="43D1290A"/>
    <w:rsid w:val="43D23F8D"/>
    <w:rsid w:val="43D41DDA"/>
    <w:rsid w:val="43DB7639"/>
    <w:rsid w:val="43DD305D"/>
    <w:rsid w:val="442B4AC5"/>
    <w:rsid w:val="4431594C"/>
    <w:rsid w:val="44380293"/>
    <w:rsid w:val="44410996"/>
    <w:rsid w:val="444F55DD"/>
    <w:rsid w:val="445157F9"/>
    <w:rsid w:val="4467501D"/>
    <w:rsid w:val="447339C1"/>
    <w:rsid w:val="4484172B"/>
    <w:rsid w:val="448654A3"/>
    <w:rsid w:val="449F30AE"/>
    <w:rsid w:val="44B57C95"/>
    <w:rsid w:val="44C54EC6"/>
    <w:rsid w:val="44C91833"/>
    <w:rsid w:val="44C9272E"/>
    <w:rsid w:val="44D41F9A"/>
    <w:rsid w:val="44DD0E3B"/>
    <w:rsid w:val="44E15F67"/>
    <w:rsid w:val="44E16B7D"/>
    <w:rsid w:val="44E40AA5"/>
    <w:rsid w:val="45163210"/>
    <w:rsid w:val="45237196"/>
    <w:rsid w:val="452E3F9F"/>
    <w:rsid w:val="452F7361"/>
    <w:rsid w:val="45356EC9"/>
    <w:rsid w:val="45453A77"/>
    <w:rsid w:val="45593A2F"/>
    <w:rsid w:val="45703A5D"/>
    <w:rsid w:val="45744DF5"/>
    <w:rsid w:val="45795008"/>
    <w:rsid w:val="458F15F4"/>
    <w:rsid w:val="45961716"/>
    <w:rsid w:val="45B4349F"/>
    <w:rsid w:val="45B456C8"/>
    <w:rsid w:val="45B767D7"/>
    <w:rsid w:val="45BC3750"/>
    <w:rsid w:val="45C10675"/>
    <w:rsid w:val="45D1274E"/>
    <w:rsid w:val="45D51691"/>
    <w:rsid w:val="45EF7078"/>
    <w:rsid w:val="45FC0A6E"/>
    <w:rsid w:val="460D35B6"/>
    <w:rsid w:val="461B0424"/>
    <w:rsid w:val="46470C62"/>
    <w:rsid w:val="464A3F40"/>
    <w:rsid w:val="465938A3"/>
    <w:rsid w:val="465D7F42"/>
    <w:rsid w:val="46616CF0"/>
    <w:rsid w:val="46881A58"/>
    <w:rsid w:val="46893E56"/>
    <w:rsid w:val="469169C3"/>
    <w:rsid w:val="46C27E2B"/>
    <w:rsid w:val="46C92845"/>
    <w:rsid w:val="46C95B2A"/>
    <w:rsid w:val="46C96446"/>
    <w:rsid w:val="46D5626E"/>
    <w:rsid w:val="46D70238"/>
    <w:rsid w:val="46DC75FC"/>
    <w:rsid w:val="46E064AE"/>
    <w:rsid w:val="46E37D00"/>
    <w:rsid w:val="46EE20C4"/>
    <w:rsid w:val="46FC1F6D"/>
    <w:rsid w:val="46FE20A2"/>
    <w:rsid w:val="470446AA"/>
    <w:rsid w:val="47076B74"/>
    <w:rsid w:val="471709F8"/>
    <w:rsid w:val="473E02B7"/>
    <w:rsid w:val="473E5925"/>
    <w:rsid w:val="47456DDE"/>
    <w:rsid w:val="47592EF0"/>
    <w:rsid w:val="476B326E"/>
    <w:rsid w:val="47723ABC"/>
    <w:rsid w:val="47811A62"/>
    <w:rsid w:val="47825F8A"/>
    <w:rsid w:val="47881532"/>
    <w:rsid w:val="47897144"/>
    <w:rsid w:val="478D6B48"/>
    <w:rsid w:val="47BF08F9"/>
    <w:rsid w:val="47BF1DF4"/>
    <w:rsid w:val="47C634A9"/>
    <w:rsid w:val="47E81FD1"/>
    <w:rsid w:val="48074B4D"/>
    <w:rsid w:val="48151480"/>
    <w:rsid w:val="482E33A4"/>
    <w:rsid w:val="48335F3B"/>
    <w:rsid w:val="48475477"/>
    <w:rsid w:val="48636F7A"/>
    <w:rsid w:val="486D7EBB"/>
    <w:rsid w:val="488006FB"/>
    <w:rsid w:val="488C32A4"/>
    <w:rsid w:val="48943F06"/>
    <w:rsid w:val="4897550A"/>
    <w:rsid w:val="48A905C6"/>
    <w:rsid w:val="48AB197C"/>
    <w:rsid w:val="48AE6D76"/>
    <w:rsid w:val="48B56357"/>
    <w:rsid w:val="48BC0FE6"/>
    <w:rsid w:val="48EB621C"/>
    <w:rsid w:val="48EC28C3"/>
    <w:rsid w:val="48ED0ACE"/>
    <w:rsid w:val="49050213"/>
    <w:rsid w:val="490511BC"/>
    <w:rsid w:val="490A53BE"/>
    <w:rsid w:val="49184B37"/>
    <w:rsid w:val="49543DC1"/>
    <w:rsid w:val="49646626"/>
    <w:rsid w:val="49731B24"/>
    <w:rsid w:val="49817868"/>
    <w:rsid w:val="49D96075"/>
    <w:rsid w:val="49DC7913"/>
    <w:rsid w:val="49E243B7"/>
    <w:rsid w:val="49E300E6"/>
    <w:rsid w:val="4A0B35B5"/>
    <w:rsid w:val="4A391A82"/>
    <w:rsid w:val="4A3E62BE"/>
    <w:rsid w:val="4A4C1617"/>
    <w:rsid w:val="4A530748"/>
    <w:rsid w:val="4A541B9F"/>
    <w:rsid w:val="4A6D7030"/>
    <w:rsid w:val="4A723CEB"/>
    <w:rsid w:val="4A7446B4"/>
    <w:rsid w:val="4A7E0310"/>
    <w:rsid w:val="4A835FE1"/>
    <w:rsid w:val="4A8738D3"/>
    <w:rsid w:val="4A8F7F6C"/>
    <w:rsid w:val="4AA57DE6"/>
    <w:rsid w:val="4AA91EEB"/>
    <w:rsid w:val="4AAE34C1"/>
    <w:rsid w:val="4AAE7CB6"/>
    <w:rsid w:val="4AB97DD9"/>
    <w:rsid w:val="4AC15699"/>
    <w:rsid w:val="4ADB665F"/>
    <w:rsid w:val="4AF15640"/>
    <w:rsid w:val="4B0215FB"/>
    <w:rsid w:val="4B101F6A"/>
    <w:rsid w:val="4B2C48CA"/>
    <w:rsid w:val="4B346643"/>
    <w:rsid w:val="4B4671BD"/>
    <w:rsid w:val="4B4A0085"/>
    <w:rsid w:val="4B654AFD"/>
    <w:rsid w:val="4B6C4969"/>
    <w:rsid w:val="4B7B7FF9"/>
    <w:rsid w:val="4B863FDA"/>
    <w:rsid w:val="4B893ACB"/>
    <w:rsid w:val="4B9F1B8C"/>
    <w:rsid w:val="4BC36958"/>
    <w:rsid w:val="4BD40E87"/>
    <w:rsid w:val="4BDA7E3D"/>
    <w:rsid w:val="4BE60F1D"/>
    <w:rsid w:val="4C026BC9"/>
    <w:rsid w:val="4C17747E"/>
    <w:rsid w:val="4C280022"/>
    <w:rsid w:val="4C407DF8"/>
    <w:rsid w:val="4C4C1AD8"/>
    <w:rsid w:val="4C650094"/>
    <w:rsid w:val="4C651E42"/>
    <w:rsid w:val="4C7223A4"/>
    <w:rsid w:val="4C8B275A"/>
    <w:rsid w:val="4C9A7B8F"/>
    <w:rsid w:val="4CA010CC"/>
    <w:rsid w:val="4CA057D8"/>
    <w:rsid w:val="4CA23096"/>
    <w:rsid w:val="4CB15087"/>
    <w:rsid w:val="4CCF7D94"/>
    <w:rsid w:val="4CD05584"/>
    <w:rsid w:val="4CD124FE"/>
    <w:rsid w:val="4CD174D7"/>
    <w:rsid w:val="4CD35224"/>
    <w:rsid w:val="4CF136D5"/>
    <w:rsid w:val="4CF42DEF"/>
    <w:rsid w:val="4CF42EA8"/>
    <w:rsid w:val="4CF431C6"/>
    <w:rsid w:val="4D084D00"/>
    <w:rsid w:val="4D195397"/>
    <w:rsid w:val="4D1C1E24"/>
    <w:rsid w:val="4D2211D8"/>
    <w:rsid w:val="4D245DE3"/>
    <w:rsid w:val="4D3373DD"/>
    <w:rsid w:val="4D337AB8"/>
    <w:rsid w:val="4D385F2A"/>
    <w:rsid w:val="4D4E0B28"/>
    <w:rsid w:val="4D5219AE"/>
    <w:rsid w:val="4D5A2E9C"/>
    <w:rsid w:val="4D646319"/>
    <w:rsid w:val="4D7247FE"/>
    <w:rsid w:val="4D77007F"/>
    <w:rsid w:val="4D7F3EF3"/>
    <w:rsid w:val="4D8768AC"/>
    <w:rsid w:val="4D8811AD"/>
    <w:rsid w:val="4D910B68"/>
    <w:rsid w:val="4D990599"/>
    <w:rsid w:val="4D9B7BA5"/>
    <w:rsid w:val="4D9F5E88"/>
    <w:rsid w:val="4DB50BA7"/>
    <w:rsid w:val="4DCE3A17"/>
    <w:rsid w:val="4DD1746B"/>
    <w:rsid w:val="4DF3347D"/>
    <w:rsid w:val="4E035D32"/>
    <w:rsid w:val="4E056A63"/>
    <w:rsid w:val="4E102281"/>
    <w:rsid w:val="4E140128"/>
    <w:rsid w:val="4E15651D"/>
    <w:rsid w:val="4E165AE9"/>
    <w:rsid w:val="4E1B3614"/>
    <w:rsid w:val="4E2F0959"/>
    <w:rsid w:val="4E3162AA"/>
    <w:rsid w:val="4E33358C"/>
    <w:rsid w:val="4E630603"/>
    <w:rsid w:val="4E6F32EA"/>
    <w:rsid w:val="4E6F6E5F"/>
    <w:rsid w:val="4E712D20"/>
    <w:rsid w:val="4E975330"/>
    <w:rsid w:val="4E980F9E"/>
    <w:rsid w:val="4EB7710A"/>
    <w:rsid w:val="4EBC0DCE"/>
    <w:rsid w:val="4ED65279"/>
    <w:rsid w:val="4ED67027"/>
    <w:rsid w:val="4EF23735"/>
    <w:rsid w:val="4F0A4190"/>
    <w:rsid w:val="4F0D5250"/>
    <w:rsid w:val="4F11005F"/>
    <w:rsid w:val="4F195165"/>
    <w:rsid w:val="4F1B712F"/>
    <w:rsid w:val="4F1C4C2B"/>
    <w:rsid w:val="4F363F69"/>
    <w:rsid w:val="4F3B50DC"/>
    <w:rsid w:val="4F47041D"/>
    <w:rsid w:val="4F4977F9"/>
    <w:rsid w:val="4F5278CB"/>
    <w:rsid w:val="4F585C8E"/>
    <w:rsid w:val="4F596466"/>
    <w:rsid w:val="4F65169A"/>
    <w:rsid w:val="4F657027"/>
    <w:rsid w:val="4F71173F"/>
    <w:rsid w:val="4F74239C"/>
    <w:rsid w:val="4F781E8C"/>
    <w:rsid w:val="4F911547"/>
    <w:rsid w:val="4F933581"/>
    <w:rsid w:val="4F9A7171"/>
    <w:rsid w:val="4FAB1220"/>
    <w:rsid w:val="4FAD3C3C"/>
    <w:rsid w:val="4FB37368"/>
    <w:rsid w:val="4FCB2904"/>
    <w:rsid w:val="4FD05013"/>
    <w:rsid w:val="4FD75CCF"/>
    <w:rsid w:val="4FF04118"/>
    <w:rsid w:val="4FFE4A87"/>
    <w:rsid w:val="50016325"/>
    <w:rsid w:val="50025D05"/>
    <w:rsid w:val="500940B6"/>
    <w:rsid w:val="500E1A76"/>
    <w:rsid w:val="502C325A"/>
    <w:rsid w:val="5064423C"/>
    <w:rsid w:val="50730EC3"/>
    <w:rsid w:val="50746AF7"/>
    <w:rsid w:val="50813E96"/>
    <w:rsid w:val="5097046B"/>
    <w:rsid w:val="509E1DC6"/>
    <w:rsid w:val="50AA2519"/>
    <w:rsid w:val="50AB55A3"/>
    <w:rsid w:val="50B769E4"/>
    <w:rsid w:val="50BA20AD"/>
    <w:rsid w:val="50F01FC4"/>
    <w:rsid w:val="50F17AAA"/>
    <w:rsid w:val="50F377FB"/>
    <w:rsid w:val="50F93610"/>
    <w:rsid w:val="51065647"/>
    <w:rsid w:val="510B3963"/>
    <w:rsid w:val="51107C3D"/>
    <w:rsid w:val="51385D77"/>
    <w:rsid w:val="513C4391"/>
    <w:rsid w:val="5147420C"/>
    <w:rsid w:val="51557A43"/>
    <w:rsid w:val="515D3A2F"/>
    <w:rsid w:val="51644DBE"/>
    <w:rsid w:val="51671B48"/>
    <w:rsid w:val="51840A82"/>
    <w:rsid w:val="518E5997"/>
    <w:rsid w:val="51A3539A"/>
    <w:rsid w:val="51A73CAD"/>
    <w:rsid w:val="51B15B7D"/>
    <w:rsid w:val="51BD2EC4"/>
    <w:rsid w:val="51BD627C"/>
    <w:rsid w:val="51CB07C6"/>
    <w:rsid w:val="51D33CF1"/>
    <w:rsid w:val="51E3391E"/>
    <w:rsid w:val="51E90EF4"/>
    <w:rsid w:val="525747DD"/>
    <w:rsid w:val="526A01B2"/>
    <w:rsid w:val="52755349"/>
    <w:rsid w:val="528817F3"/>
    <w:rsid w:val="52A92BF7"/>
    <w:rsid w:val="52AF15D1"/>
    <w:rsid w:val="52CA6EA2"/>
    <w:rsid w:val="52DB4C0C"/>
    <w:rsid w:val="52E77A54"/>
    <w:rsid w:val="52F4245E"/>
    <w:rsid w:val="53085A69"/>
    <w:rsid w:val="530879CB"/>
    <w:rsid w:val="530C74BB"/>
    <w:rsid w:val="531712D5"/>
    <w:rsid w:val="5320789E"/>
    <w:rsid w:val="532A1BF0"/>
    <w:rsid w:val="5339143A"/>
    <w:rsid w:val="534A1D91"/>
    <w:rsid w:val="5351775F"/>
    <w:rsid w:val="53654E1D"/>
    <w:rsid w:val="53786F73"/>
    <w:rsid w:val="537F5EDF"/>
    <w:rsid w:val="5389478E"/>
    <w:rsid w:val="538F2C19"/>
    <w:rsid w:val="53A1276C"/>
    <w:rsid w:val="53B95F96"/>
    <w:rsid w:val="53BB5A81"/>
    <w:rsid w:val="53CB5041"/>
    <w:rsid w:val="53CE4770"/>
    <w:rsid w:val="53D63625"/>
    <w:rsid w:val="53D77AC9"/>
    <w:rsid w:val="53D8021B"/>
    <w:rsid w:val="53DD49B3"/>
    <w:rsid w:val="53E534E0"/>
    <w:rsid w:val="53E64C15"/>
    <w:rsid w:val="53ED4750"/>
    <w:rsid w:val="53EF3783"/>
    <w:rsid w:val="53FB5D86"/>
    <w:rsid w:val="540022DD"/>
    <w:rsid w:val="5413297B"/>
    <w:rsid w:val="54244390"/>
    <w:rsid w:val="543636CF"/>
    <w:rsid w:val="543B6AC2"/>
    <w:rsid w:val="5457738F"/>
    <w:rsid w:val="54631B76"/>
    <w:rsid w:val="546549EC"/>
    <w:rsid w:val="547052BB"/>
    <w:rsid w:val="54723AC7"/>
    <w:rsid w:val="547733B0"/>
    <w:rsid w:val="547A48F8"/>
    <w:rsid w:val="54944F09"/>
    <w:rsid w:val="54AD4386"/>
    <w:rsid w:val="54B35714"/>
    <w:rsid w:val="54D1276A"/>
    <w:rsid w:val="54FC07F6"/>
    <w:rsid w:val="5503044A"/>
    <w:rsid w:val="551615FE"/>
    <w:rsid w:val="551701EA"/>
    <w:rsid w:val="551E79C7"/>
    <w:rsid w:val="55287EB0"/>
    <w:rsid w:val="553403DB"/>
    <w:rsid w:val="55342CF9"/>
    <w:rsid w:val="5546387D"/>
    <w:rsid w:val="554C0043"/>
    <w:rsid w:val="55570796"/>
    <w:rsid w:val="556B77C1"/>
    <w:rsid w:val="55717665"/>
    <w:rsid w:val="5575131B"/>
    <w:rsid w:val="55752907"/>
    <w:rsid w:val="55766E6E"/>
    <w:rsid w:val="557B126A"/>
    <w:rsid w:val="557D01FC"/>
    <w:rsid w:val="55810E08"/>
    <w:rsid w:val="5591600D"/>
    <w:rsid w:val="559A6184"/>
    <w:rsid w:val="559F12E5"/>
    <w:rsid w:val="55A5525E"/>
    <w:rsid w:val="55C62A47"/>
    <w:rsid w:val="55D17A21"/>
    <w:rsid w:val="55DB13C7"/>
    <w:rsid w:val="55EA33B8"/>
    <w:rsid w:val="55EC2C79"/>
    <w:rsid w:val="55F06F61"/>
    <w:rsid w:val="55F12998"/>
    <w:rsid w:val="55FC4723"/>
    <w:rsid w:val="55FF4B9F"/>
    <w:rsid w:val="56002BDB"/>
    <w:rsid w:val="560621C8"/>
    <w:rsid w:val="560938C0"/>
    <w:rsid w:val="56166289"/>
    <w:rsid w:val="56231480"/>
    <w:rsid w:val="562763BA"/>
    <w:rsid w:val="56302CE9"/>
    <w:rsid w:val="56336B0D"/>
    <w:rsid w:val="563F4ABC"/>
    <w:rsid w:val="565D1CA9"/>
    <w:rsid w:val="565D4368"/>
    <w:rsid w:val="566273F2"/>
    <w:rsid w:val="56694C24"/>
    <w:rsid w:val="566D7CF7"/>
    <w:rsid w:val="566E5A4C"/>
    <w:rsid w:val="56712A9B"/>
    <w:rsid w:val="56815ACA"/>
    <w:rsid w:val="56867584"/>
    <w:rsid w:val="568D71FB"/>
    <w:rsid w:val="56A17F1A"/>
    <w:rsid w:val="56A240CD"/>
    <w:rsid w:val="56B00568"/>
    <w:rsid w:val="56B458BB"/>
    <w:rsid w:val="56BF1EFA"/>
    <w:rsid w:val="56D06A51"/>
    <w:rsid w:val="56D4209E"/>
    <w:rsid w:val="56D93B58"/>
    <w:rsid w:val="56E7039B"/>
    <w:rsid w:val="56F27A24"/>
    <w:rsid w:val="56F405CB"/>
    <w:rsid w:val="56F53225"/>
    <w:rsid w:val="570B4BF5"/>
    <w:rsid w:val="5712706A"/>
    <w:rsid w:val="5718516B"/>
    <w:rsid w:val="5721546D"/>
    <w:rsid w:val="572551E4"/>
    <w:rsid w:val="57406DB1"/>
    <w:rsid w:val="57407733"/>
    <w:rsid w:val="57415259"/>
    <w:rsid w:val="57607DD5"/>
    <w:rsid w:val="576F0FDB"/>
    <w:rsid w:val="577B62F9"/>
    <w:rsid w:val="578507C0"/>
    <w:rsid w:val="5785783C"/>
    <w:rsid w:val="579D2388"/>
    <w:rsid w:val="579D653B"/>
    <w:rsid w:val="57A53A3A"/>
    <w:rsid w:val="57AE064A"/>
    <w:rsid w:val="57BB4B36"/>
    <w:rsid w:val="57C06AC6"/>
    <w:rsid w:val="57C13F53"/>
    <w:rsid w:val="57C93BCD"/>
    <w:rsid w:val="57D4682F"/>
    <w:rsid w:val="57DE66E3"/>
    <w:rsid w:val="57E427B4"/>
    <w:rsid w:val="57EC62AE"/>
    <w:rsid w:val="57F56770"/>
    <w:rsid w:val="58000F1C"/>
    <w:rsid w:val="58030846"/>
    <w:rsid w:val="580D1223"/>
    <w:rsid w:val="581035A9"/>
    <w:rsid w:val="5814296E"/>
    <w:rsid w:val="58296419"/>
    <w:rsid w:val="583956DC"/>
    <w:rsid w:val="583E14ED"/>
    <w:rsid w:val="58417C07"/>
    <w:rsid w:val="58451850"/>
    <w:rsid w:val="58523BC2"/>
    <w:rsid w:val="586751F7"/>
    <w:rsid w:val="5886178A"/>
    <w:rsid w:val="589171E1"/>
    <w:rsid w:val="58932C93"/>
    <w:rsid w:val="58A92390"/>
    <w:rsid w:val="58B24661"/>
    <w:rsid w:val="58B33F35"/>
    <w:rsid w:val="58B37FCA"/>
    <w:rsid w:val="58BD2E7F"/>
    <w:rsid w:val="58C56CB7"/>
    <w:rsid w:val="58D345D7"/>
    <w:rsid w:val="5917019C"/>
    <w:rsid w:val="592A069B"/>
    <w:rsid w:val="592D3CE7"/>
    <w:rsid w:val="593170C6"/>
    <w:rsid w:val="595E20F3"/>
    <w:rsid w:val="595E77A8"/>
    <w:rsid w:val="596D2336"/>
    <w:rsid w:val="59766457"/>
    <w:rsid w:val="598E7711"/>
    <w:rsid w:val="59A315E4"/>
    <w:rsid w:val="59AA17DC"/>
    <w:rsid w:val="59B215E8"/>
    <w:rsid w:val="59C3132C"/>
    <w:rsid w:val="59C503FE"/>
    <w:rsid w:val="59CC2230"/>
    <w:rsid w:val="59CE5CB4"/>
    <w:rsid w:val="59D52423"/>
    <w:rsid w:val="59D71626"/>
    <w:rsid w:val="59E059E3"/>
    <w:rsid w:val="59E624CD"/>
    <w:rsid w:val="59E67BEF"/>
    <w:rsid w:val="59F82547"/>
    <w:rsid w:val="59F914E6"/>
    <w:rsid w:val="59FD4E65"/>
    <w:rsid w:val="5A1B4488"/>
    <w:rsid w:val="5A1B6236"/>
    <w:rsid w:val="5A313B96"/>
    <w:rsid w:val="5A3957E9"/>
    <w:rsid w:val="5A3C6B75"/>
    <w:rsid w:val="5A410EDF"/>
    <w:rsid w:val="5A416190"/>
    <w:rsid w:val="5A636F8C"/>
    <w:rsid w:val="5A691F96"/>
    <w:rsid w:val="5A707928"/>
    <w:rsid w:val="5A78429B"/>
    <w:rsid w:val="5A793EA5"/>
    <w:rsid w:val="5A932270"/>
    <w:rsid w:val="5A9A1850"/>
    <w:rsid w:val="5AA06838"/>
    <w:rsid w:val="5AA13D98"/>
    <w:rsid w:val="5AB468BB"/>
    <w:rsid w:val="5AC266B1"/>
    <w:rsid w:val="5AD50968"/>
    <w:rsid w:val="5AE10544"/>
    <w:rsid w:val="5AE623A0"/>
    <w:rsid w:val="5AEE56F8"/>
    <w:rsid w:val="5AF12400"/>
    <w:rsid w:val="5B242EC8"/>
    <w:rsid w:val="5B277277"/>
    <w:rsid w:val="5B317B51"/>
    <w:rsid w:val="5B386806"/>
    <w:rsid w:val="5B4D0590"/>
    <w:rsid w:val="5B791640"/>
    <w:rsid w:val="5B7C2D04"/>
    <w:rsid w:val="5B7E0532"/>
    <w:rsid w:val="5B822FEB"/>
    <w:rsid w:val="5B8F2A37"/>
    <w:rsid w:val="5BA81D4B"/>
    <w:rsid w:val="5BBE797A"/>
    <w:rsid w:val="5BC34873"/>
    <w:rsid w:val="5BCF7320"/>
    <w:rsid w:val="5BDD7C46"/>
    <w:rsid w:val="5BE508A9"/>
    <w:rsid w:val="5BE52633"/>
    <w:rsid w:val="5BE72004"/>
    <w:rsid w:val="5BE9616C"/>
    <w:rsid w:val="5BF03C12"/>
    <w:rsid w:val="5BF529B0"/>
    <w:rsid w:val="5C0276AD"/>
    <w:rsid w:val="5C063FFB"/>
    <w:rsid w:val="5C074730"/>
    <w:rsid w:val="5C2C69A2"/>
    <w:rsid w:val="5C317F92"/>
    <w:rsid w:val="5C392450"/>
    <w:rsid w:val="5C447CC6"/>
    <w:rsid w:val="5C4A2E02"/>
    <w:rsid w:val="5C50666A"/>
    <w:rsid w:val="5C5703D7"/>
    <w:rsid w:val="5C570C57"/>
    <w:rsid w:val="5C71213D"/>
    <w:rsid w:val="5C7F0CFE"/>
    <w:rsid w:val="5CA01326"/>
    <w:rsid w:val="5CAC50D2"/>
    <w:rsid w:val="5CB92C5E"/>
    <w:rsid w:val="5CC1632E"/>
    <w:rsid w:val="5CC6692D"/>
    <w:rsid w:val="5CD90414"/>
    <w:rsid w:val="5CEA6009"/>
    <w:rsid w:val="5CF50FC0"/>
    <w:rsid w:val="5D041203"/>
    <w:rsid w:val="5D056C86"/>
    <w:rsid w:val="5D0C499F"/>
    <w:rsid w:val="5D1D22C5"/>
    <w:rsid w:val="5D2974DA"/>
    <w:rsid w:val="5D347D3A"/>
    <w:rsid w:val="5D431D2B"/>
    <w:rsid w:val="5D447317"/>
    <w:rsid w:val="5D492930"/>
    <w:rsid w:val="5D5606A6"/>
    <w:rsid w:val="5D5B6947"/>
    <w:rsid w:val="5D740137"/>
    <w:rsid w:val="5D852344"/>
    <w:rsid w:val="5D861C18"/>
    <w:rsid w:val="5DAE1953"/>
    <w:rsid w:val="5DBA7253"/>
    <w:rsid w:val="5DBD5B99"/>
    <w:rsid w:val="5DC6470A"/>
    <w:rsid w:val="5DD12FD7"/>
    <w:rsid w:val="5E022D5C"/>
    <w:rsid w:val="5E0D00D7"/>
    <w:rsid w:val="5E1A6AC6"/>
    <w:rsid w:val="5E222D98"/>
    <w:rsid w:val="5E345D1B"/>
    <w:rsid w:val="5E3B5E29"/>
    <w:rsid w:val="5E3E24F3"/>
    <w:rsid w:val="5E451AD3"/>
    <w:rsid w:val="5E521A08"/>
    <w:rsid w:val="5E58112D"/>
    <w:rsid w:val="5E940365"/>
    <w:rsid w:val="5E9A5515"/>
    <w:rsid w:val="5EB81F74"/>
    <w:rsid w:val="5EBA7985"/>
    <w:rsid w:val="5EBD5B0D"/>
    <w:rsid w:val="5EBD5FFF"/>
    <w:rsid w:val="5EBE53E1"/>
    <w:rsid w:val="5EBF11CB"/>
    <w:rsid w:val="5EC27095"/>
    <w:rsid w:val="5ECD013E"/>
    <w:rsid w:val="5ED6366A"/>
    <w:rsid w:val="5ED76C93"/>
    <w:rsid w:val="5EDF4BE8"/>
    <w:rsid w:val="5F3820BC"/>
    <w:rsid w:val="5F3A57F1"/>
    <w:rsid w:val="5F3C4679"/>
    <w:rsid w:val="5F3C666F"/>
    <w:rsid w:val="5F3F29C6"/>
    <w:rsid w:val="5F50072F"/>
    <w:rsid w:val="5F63341C"/>
    <w:rsid w:val="5F6661A5"/>
    <w:rsid w:val="5F7B73BD"/>
    <w:rsid w:val="5F7F7267"/>
    <w:rsid w:val="5F8A0B26"/>
    <w:rsid w:val="5F8F138E"/>
    <w:rsid w:val="5F9B0969"/>
    <w:rsid w:val="5FD4310E"/>
    <w:rsid w:val="5FD50C35"/>
    <w:rsid w:val="5FE80968"/>
    <w:rsid w:val="5FE80ECF"/>
    <w:rsid w:val="5FE93021"/>
    <w:rsid w:val="5FF53085"/>
    <w:rsid w:val="5FF94438"/>
    <w:rsid w:val="5FFC31E6"/>
    <w:rsid w:val="600225BA"/>
    <w:rsid w:val="6010422F"/>
    <w:rsid w:val="601E76C8"/>
    <w:rsid w:val="60234096"/>
    <w:rsid w:val="602B11FB"/>
    <w:rsid w:val="60503BB2"/>
    <w:rsid w:val="605F2313"/>
    <w:rsid w:val="605F40E2"/>
    <w:rsid w:val="60770BD3"/>
    <w:rsid w:val="608E7761"/>
    <w:rsid w:val="60AE7E03"/>
    <w:rsid w:val="60AF5FEC"/>
    <w:rsid w:val="60B46A9C"/>
    <w:rsid w:val="60B74C79"/>
    <w:rsid w:val="60B82914"/>
    <w:rsid w:val="60B84F7E"/>
    <w:rsid w:val="60BD02AA"/>
    <w:rsid w:val="60C413D5"/>
    <w:rsid w:val="60D36CFD"/>
    <w:rsid w:val="60EF46F9"/>
    <w:rsid w:val="60F859EE"/>
    <w:rsid w:val="610B7004"/>
    <w:rsid w:val="611F2AAF"/>
    <w:rsid w:val="61353AE8"/>
    <w:rsid w:val="613F6CAD"/>
    <w:rsid w:val="6142679E"/>
    <w:rsid w:val="614C4F26"/>
    <w:rsid w:val="614E7B14"/>
    <w:rsid w:val="61813DAD"/>
    <w:rsid w:val="61973491"/>
    <w:rsid w:val="61B30020"/>
    <w:rsid w:val="61C37261"/>
    <w:rsid w:val="61DD109C"/>
    <w:rsid w:val="61DF5094"/>
    <w:rsid w:val="61EB712F"/>
    <w:rsid w:val="620D6DAC"/>
    <w:rsid w:val="62155407"/>
    <w:rsid w:val="6221305D"/>
    <w:rsid w:val="62265778"/>
    <w:rsid w:val="62357A97"/>
    <w:rsid w:val="623D2523"/>
    <w:rsid w:val="624E35CB"/>
    <w:rsid w:val="6257481A"/>
    <w:rsid w:val="626B121F"/>
    <w:rsid w:val="627A3EB2"/>
    <w:rsid w:val="6280757E"/>
    <w:rsid w:val="62861C6F"/>
    <w:rsid w:val="6299163B"/>
    <w:rsid w:val="62B72AEB"/>
    <w:rsid w:val="62C751AC"/>
    <w:rsid w:val="62FB6C04"/>
    <w:rsid w:val="630006BE"/>
    <w:rsid w:val="630930CF"/>
    <w:rsid w:val="63116428"/>
    <w:rsid w:val="63163A3E"/>
    <w:rsid w:val="632176F0"/>
    <w:rsid w:val="63251ED3"/>
    <w:rsid w:val="63350763"/>
    <w:rsid w:val="6338038C"/>
    <w:rsid w:val="63416268"/>
    <w:rsid w:val="63624ED5"/>
    <w:rsid w:val="637C7D45"/>
    <w:rsid w:val="63950E07"/>
    <w:rsid w:val="639C3F43"/>
    <w:rsid w:val="63A23524"/>
    <w:rsid w:val="63BA42AD"/>
    <w:rsid w:val="63C0723A"/>
    <w:rsid w:val="63CC3817"/>
    <w:rsid w:val="63DD630A"/>
    <w:rsid w:val="63E47698"/>
    <w:rsid w:val="63E8362C"/>
    <w:rsid w:val="640D4E41"/>
    <w:rsid w:val="64177A6E"/>
    <w:rsid w:val="641E2BAA"/>
    <w:rsid w:val="6452734A"/>
    <w:rsid w:val="64592031"/>
    <w:rsid w:val="647B624F"/>
    <w:rsid w:val="64835103"/>
    <w:rsid w:val="648D7D30"/>
    <w:rsid w:val="649477F5"/>
    <w:rsid w:val="649C269E"/>
    <w:rsid w:val="64AE3639"/>
    <w:rsid w:val="64B61A2A"/>
    <w:rsid w:val="64BD63E6"/>
    <w:rsid w:val="64E9728A"/>
    <w:rsid w:val="64F1206D"/>
    <w:rsid w:val="64F97FFA"/>
    <w:rsid w:val="64FE2153"/>
    <w:rsid w:val="65102E3B"/>
    <w:rsid w:val="65217A1A"/>
    <w:rsid w:val="65235ED9"/>
    <w:rsid w:val="6525440C"/>
    <w:rsid w:val="65291798"/>
    <w:rsid w:val="655F4C8C"/>
    <w:rsid w:val="65660525"/>
    <w:rsid w:val="65674A25"/>
    <w:rsid w:val="656920C1"/>
    <w:rsid w:val="65982891"/>
    <w:rsid w:val="65A30754"/>
    <w:rsid w:val="65A96DEB"/>
    <w:rsid w:val="65B4371E"/>
    <w:rsid w:val="65D808E1"/>
    <w:rsid w:val="65DF0A5F"/>
    <w:rsid w:val="65DF6C05"/>
    <w:rsid w:val="65E34D93"/>
    <w:rsid w:val="66044022"/>
    <w:rsid w:val="6642376B"/>
    <w:rsid w:val="664408C2"/>
    <w:rsid w:val="664445BC"/>
    <w:rsid w:val="664B2406"/>
    <w:rsid w:val="664F7993"/>
    <w:rsid w:val="66630D48"/>
    <w:rsid w:val="667923E2"/>
    <w:rsid w:val="66895A5F"/>
    <w:rsid w:val="66970B48"/>
    <w:rsid w:val="669A0F55"/>
    <w:rsid w:val="669B6734"/>
    <w:rsid w:val="669E498C"/>
    <w:rsid w:val="669F4100"/>
    <w:rsid w:val="66A17AC3"/>
    <w:rsid w:val="66AB04D9"/>
    <w:rsid w:val="66C54A12"/>
    <w:rsid w:val="66CB4B3F"/>
    <w:rsid w:val="66D07A07"/>
    <w:rsid w:val="66D439F4"/>
    <w:rsid w:val="66F928BE"/>
    <w:rsid w:val="66FF28C3"/>
    <w:rsid w:val="67024A05"/>
    <w:rsid w:val="67054470"/>
    <w:rsid w:val="6712723B"/>
    <w:rsid w:val="673F4B0E"/>
    <w:rsid w:val="674E19F8"/>
    <w:rsid w:val="676E79D1"/>
    <w:rsid w:val="67766670"/>
    <w:rsid w:val="678869F2"/>
    <w:rsid w:val="67A660C0"/>
    <w:rsid w:val="67A946D2"/>
    <w:rsid w:val="67C1666E"/>
    <w:rsid w:val="67CF5117"/>
    <w:rsid w:val="67D63215"/>
    <w:rsid w:val="67EC2091"/>
    <w:rsid w:val="67EC20DF"/>
    <w:rsid w:val="68166C2B"/>
    <w:rsid w:val="682F5430"/>
    <w:rsid w:val="683F3218"/>
    <w:rsid w:val="684A2F11"/>
    <w:rsid w:val="684A6A50"/>
    <w:rsid w:val="68541290"/>
    <w:rsid w:val="685B3391"/>
    <w:rsid w:val="68840229"/>
    <w:rsid w:val="688952EA"/>
    <w:rsid w:val="688A1E3E"/>
    <w:rsid w:val="688F1C4C"/>
    <w:rsid w:val="68906041"/>
    <w:rsid w:val="68950635"/>
    <w:rsid w:val="689A0646"/>
    <w:rsid w:val="689E250C"/>
    <w:rsid w:val="68A42FD9"/>
    <w:rsid w:val="68A7470D"/>
    <w:rsid w:val="68BF6C7E"/>
    <w:rsid w:val="68C6609A"/>
    <w:rsid w:val="68D02FD0"/>
    <w:rsid w:val="68D545C8"/>
    <w:rsid w:val="68E02B24"/>
    <w:rsid w:val="68E25001"/>
    <w:rsid w:val="690802CD"/>
    <w:rsid w:val="69164798"/>
    <w:rsid w:val="691A065E"/>
    <w:rsid w:val="69204056"/>
    <w:rsid w:val="693B41FE"/>
    <w:rsid w:val="69456E2B"/>
    <w:rsid w:val="696A6892"/>
    <w:rsid w:val="697E5700"/>
    <w:rsid w:val="699102C2"/>
    <w:rsid w:val="69935DE8"/>
    <w:rsid w:val="699A4D82"/>
    <w:rsid w:val="69C67F6C"/>
    <w:rsid w:val="69D501AF"/>
    <w:rsid w:val="69D64DC7"/>
    <w:rsid w:val="69EA63EA"/>
    <w:rsid w:val="69EE1271"/>
    <w:rsid w:val="69F018BB"/>
    <w:rsid w:val="69F97043"/>
    <w:rsid w:val="6A0256B2"/>
    <w:rsid w:val="6A18443D"/>
    <w:rsid w:val="6A306E82"/>
    <w:rsid w:val="6A4B221F"/>
    <w:rsid w:val="6A4B42E7"/>
    <w:rsid w:val="6A5B604E"/>
    <w:rsid w:val="6A5C4EA8"/>
    <w:rsid w:val="6A5F6F1B"/>
    <w:rsid w:val="6A672C87"/>
    <w:rsid w:val="6A705A35"/>
    <w:rsid w:val="6A755E19"/>
    <w:rsid w:val="6A7929CD"/>
    <w:rsid w:val="6A7A48B2"/>
    <w:rsid w:val="6A843F5F"/>
    <w:rsid w:val="6AA933EA"/>
    <w:rsid w:val="6AC00E5F"/>
    <w:rsid w:val="6AC0108E"/>
    <w:rsid w:val="6AC60F39"/>
    <w:rsid w:val="6AD166CF"/>
    <w:rsid w:val="6AD40C3E"/>
    <w:rsid w:val="6AE97F35"/>
    <w:rsid w:val="6AFE54E3"/>
    <w:rsid w:val="6B040620"/>
    <w:rsid w:val="6B063E5D"/>
    <w:rsid w:val="6B1E737F"/>
    <w:rsid w:val="6B37143F"/>
    <w:rsid w:val="6B3E1D84"/>
    <w:rsid w:val="6B681F4D"/>
    <w:rsid w:val="6B6F17F7"/>
    <w:rsid w:val="6B745838"/>
    <w:rsid w:val="6B763366"/>
    <w:rsid w:val="6B813BB3"/>
    <w:rsid w:val="6B831119"/>
    <w:rsid w:val="6BA86459"/>
    <w:rsid w:val="6BB26738"/>
    <w:rsid w:val="6BBB7FA8"/>
    <w:rsid w:val="6BC24763"/>
    <w:rsid w:val="6BD10E4A"/>
    <w:rsid w:val="6C042997"/>
    <w:rsid w:val="6C2B0435"/>
    <w:rsid w:val="6C2E25F5"/>
    <w:rsid w:val="6C2F4DA2"/>
    <w:rsid w:val="6C306097"/>
    <w:rsid w:val="6C375151"/>
    <w:rsid w:val="6C731D2B"/>
    <w:rsid w:val="6C831BF9"/>
    <w:rsid w:val="6C895281"/>
    <w:rsid w:val="6C8D2FC3"/>
    <w:rsid w:val="6CA1081C"/>
    <w:rsid w:val="6CC87B57"/>
    <w:rsid w:val="6CCB0057"/>
    <w:rsid w:val="6CCB6373"/>
    <w:rsid w:val="6CD41192"/>
    <w:rsid w:val="6CD96208"/>
    <w:rsid w:val="6CEA71E2"/>
    <w:rsid w:val="6CFA38A3"/>
    <w:rsid w:val="6CFF29C7"/>
    <w:rsid w:val="6D062D75"/>
    <w:rsid w:val="6D196605"/>
    <w:rsid w:val="6D1F7993"/>
    <w:rsid w:val="6D226EE2"/>
    <w:rsid w:val="6D237483"/>
    <w:rsid w:val="6D3528C5"/>
    <w:rsid w:val="6D392803"/>
    <w:rsid w:val="6D45389E"/>
    <w:rsid w:val="6D485083"/>
    <w:rsid w:val="6D5A6BDF"/>
    <w:rsid w:val="6D8747CE"/>
    <w:rsid w:val="6D896923"/>
    <w:rsid w:val="6D8A5754"/>
    <w:rsid w:val="6D940381"/>
    <w:rsid w:val="6DA04C9D"/>
    <w:rsid w:val="6DA5433C"/>
    <w:rsid w:val="6DD82FBA"/>
    <w:rsid w:val="6E10460C"/>
    <w:rsid w:val="6E1C1ADF"/>
    <w:rsid w:val="6E2741AF"/>
    <w:rsid w:val="6E2848E4"/>
    <w:rsid w:val="6E2B0D75"/>
    <w:rsid w:val="6E39349F"/>
    <w:rsid w:val="6E6110EC"/>
    <w:rsid w:val="6E634DC4"/>
    <w:rsid w:val="6E6C5ECB"/>
    <w:rsid w:val="6E7A1325"/>
    <w:rsid w:val="6E7C1614"/>
    <w:rsid w:val="6E9676BE"/>
    <w:rsid w:val="6EAD16FA"/>
    <w:rsid w:val="6EB02CAD"/>
    <w:rsid w:val="6EDB11E1"/>
    <w:rsid w:val="6EE357AE"/>
    <w:rsid w:val="6F0301A9"/>
    <w:rsid w:val="6F066693"/>
    <w:rsid w:val="6F067089"/>
    <w:rsid w:val="6F125A01"/>
    <w:rsid w:val="6F2179F2"/>
    <w:rsid w:val="6F254CE6"/>
    <w:rsid w:val="6F315A22"/>
    <w:rsid w:val="6F377216"/>
    <w:rsid w:val="6F3C2439"/>
    <w:rsid w:val="6F410095"/>
    <w:rsid w:val="6F433FB6"/>
    <w:rsid w:val="6F4F27B2"/>
    <w:rsid w:val="6F771834"/>
    <w:rsid w:val="6F884CD6"/>
    <w:rsid w:val="6FA50623"/>
    <w:rsid w:val="6FC44809"/>
    <w:rsid w:val="6FCB457A"/>
    <w:rsid w:val="6FE0165C"/>
    <w:rsid w:val="6FE5312D"/>
    <w:rsid w:val="6FE55CB7"/>
    <w:rsid w:val="6FF45080"/>
    <w:rsid w:val="700E441B"/>
    <w:rsid w:val="701E37CB"/>
    <w:rsid w:val="70384FF4"/>
    <w:rsid w:val="703E2017"/>
    <w:rsid w:val="7055204A"/>
    <w:rsid w:val="705F5DD5"/>
    <w:rsid w:val="70622B04"/>
    <w:rsid w:val="707C6855"/>
    <w:rsid w:val="707F2A55"/>
    <w:rsid w:val="7081069C"/>
    <w:rsid w:val="7092243D"/>
    <w:rsid w:val="70961305"/>
    <w:rsid w:val="7098519F"/>
    <w:rsid w:val="70AC7790"/>
    <w:rsid w:val="70BA2CE7"/>
    <w:rsid w:val="70C2375B"/>
    <w:rsid w:val="70CB40BA"/>
    <w:rsid w:val="70D60EEA"/>
    <w:rsid w:val="70D63749"/>
    <w:rsid w:val="70D93EA4"/>
    <w:rsid w:val="70DE283D"/>
    <w:rsid w:val="70EB02B8"/>
    <w:rsid w:val="70F81A7D"/>
    <w:rsid w:val="7111076A"/>
    <w:rsid w:val="7114547A"/>
    <w:rsid w:val="711A0B9D"/>
    <w:rsid w:val="711C2B67"/>
    <w:rsid w:val="712215CC"/>
    <w:rsid w:val="71236D2A"/>
    <w:rsid w:val="713102D0"/>
    <w:rsid w:val="7132015F"/>
    <w:rsid w:val="71333A0D"/>
    <w:rsid w:val="71345258"/>
    <w:rsid w:val="714D2C67"/>
    <w:rsid w:val="71557614"/>
    <w:rsid w:val="71557E27"/>
    <w:rsid w:val="715C11B6"/>
    <w:rsid w:val="71755DD4"/>
    <w:rsid w:val="71836742"/>
    <w:rsid w:val="719303EE"/>
    <w:rsid w:val="71941F5C"/>
    <w:rsid w:val="719762D3"/>
    <w:rsid w:val="719D605D"/>
    <w:rsid w:val="71C3324F"/>
    <w:rsid w:val="71EC078C"/>
    <w:rsid w:val="71ED7833"/>
    <w:rsid w:val="71F232D2"/>
    <w:rsid w:val="71FA364F"/>
    <w:rsid w:val="71FA4107"/>
    <w:rsid w:val="71FA5587"/>
    <w:rsid w:val="72007D93"/>
    <w:rsid w:val="720C498A"/>
    <w:rsid w:val="72144FD6"/>
    <w:rsid w:val="7221666D"/>
    <w:rsid w:val="72252C36"/>
    <w:rsid w:val="72275593"/>
    <w:rsid w:val="722872EA"/>
    <w:rsid w:val="724B7B2F"/>
    <w:rsid w:val="72576C03"/>
    <w:rsid w:val="726919BE"/>
    <w:rsid w:val="726C0551"/>
    <w:rsid w:val="726E2F4F"/>
    <w:rsid w:val="727073F5"/>
    <w:rsid w:val="7275252F"/>
    <w:rsid w:val="727918F3"/>
    <w:rsid w:val="728A3F71"/>
    <w:rsid w:val="728B7844"/>
    <w:rsid w:val="729C086D"/>
    <w:rsid w:val="729D386D"/>
    <w:rsid w:val="72A252EE"/>
    <w:rsid w:val="72AE7F27"/>
    <w:rsid w:val="72C01ABC"/>
    <w:rsid w:val="72E22620"/>
    <w:rsid w:val="72F83603"/>
    <w:rsid w:val="73013DC3"/>
    <w:rsid w:val="7306587D"/>
    <w:rsid w:val="73086591"/>
    <w:rsid w:val="730D6C0C"/>
    <w:rsid w:val="731D1D41"/>
    <w:rsid w:val="73254D7F"/>
    <w:rsid w:val="73294EE0"/>
    <w:rsid w:val="73504D4A"/>
    <w:rsid w:val="736A4533"/>
    <w:rsid w:val="736E51D0"/>
    <w:rsid w:val="73724EFE"/>
    <w:rsid w:val="73791F5F"/>
    <w:rsid w:val="737F118B"/>
    <w:rsid w:val="7381145B"/>
    <w:rsid w:val="73A051F4"/>
    <w:rsid w:val="73C66DBA"/>
    <w:rsid w:val="73C77D4E"/>
    <w:rsid w:val="73D34C4F"/>
    <w:rsid w:val="73D566B7"/>
    <w:rsid w:val="73D96AEE"/>
    <w:rsid w:val="73E01C2A"/>
    <w:rsid w:val="73E76DE9"/>
    <w:rsid w:val="73EF6311"/>
    <w:rsid w:val="73F6673F"/>
    <w:rsid w:val="73FA46D6"/>
    <w:rsid w:val="73FC74DF"/>
    <w:rsid w:val="740022CC"/>
    <w:rsid w:val="74143FCA"/>
    <w:rsid w:val="743B0E6B"/>
    <w:rsid w:val="74594D80"/>
    <w:rsid w:val="745E5B11"/>
    <w:rsid w:val="74634609"/>
    <w:rsid w:val="746A3BEA"/>
    <w:rsid w:val="7479207F"/>
    <w:rsid w:val="747D15AF"/>
    <w:rsid w:val="747D391D"/>
    <w:rsid w:val="74954E77"/>
    <w:rsid w:val="74A150F8"/>
    <w:rsid w:val="74C432FA"/>
    <w:rsid w:val="74D42FA4"/>
    <w:rsid w:val="74FD4A5E"/>
    <w:rsid w:val="750656C7"/>
    <w:rsid w:val="75114065"/>
    <w:rsid w:val="75267081"/>
    <w:rsid w:val="753A05F3"/>
    <w:rsid w:val="754925DE"/>
    <w:rsid w:val="75671ED7"/>
    <w:rsid w:val="7568637B"/>
    <w:rsid w:val="756D1BE3"/>
    <w:rsid w:val="7580797D"/>
    <w:rsid w:val="75853D09"/>
    <w:rsid w:val="758B3B8C"/>
    <w:rsid w:val="75AD1FE0"/>
    <w:rsid w:val="75AD5727"/>
    <w:rsid w:val="75E27044"/>
    <w:rsid w:val="75EA3234"/>
    <w:rsid w:val="75F83E53"/>
    <w:rsid w:val="760D0CD1"/>
    <w:rsid w:val="76116A13"/>
    <w:rsid w:val="76184569"/>
    <w:rsid w:val="761C0F14"/>
    <w:rsid w:val="761E0A59"/>
    <w:rsid w:val="76337A8E"/>
    <w:rsid w:val="765A260B"/>
    <w:rsid w:val="765A35D1"/>
    <w:rsid w:val="765A368D"/>
    <w:rsid w:val="767B20DE"/>
    <w:rsid w:val="767F300F"/>
    <w:rsid w:val="7683430C"/>
    <w:rsid w:val="768B782E"/>
    <w:rsid w:val="768E7B9E"/>
    <w:rsid w:val="769413F2"/>
    <w:rsid w:val="76961317"/>
    <w:rsid w:val="76A13952"/>
    <w:rsid w:val="76A86BFF"/>
    <w:rsid w:val="76BC2D8F"/>
    <w:rsid w:val="76DC07F6"/>
    <w:rsid w:val="76FE4366"/>
    <w:rsid w:val="770C2628"/>
    <w:rsid w:val="77140F28"/>
    <w:rsid w:val="77284B8F"/>
    <w:rsid w:val="77316C41"/>
    <w:rsid w:val="77336515"/>
    <w:rsid w:val="7741389D"/>
    <w:rsid w:val="77536BB7"/>
    <w:rsid w:val="776F3F7C"/>
    <w:rsid w:val="77813724"/>
    <w:rsid w:val="779821C1"/>
    <w:rsid w:val="77A92C7B"/>
    <w:rsid w:val="77AB5BE5"/>
    <w:rsid w:val="77AB628F"/>
    <w:rsid w:val="77B265EF"/>
    <w:rsid w:val="77B968F2"/>
    <w:rsid w:val="77D0645A"/>
    <w:rsid w:val="77E40DAD"/>
    <w:rsid w:val="77E45A61"/>
    <w:rsid w:val="77EC701D"/>
    <w:rsid w:val="77F02658"/>
    <w:rsid w:val="77F74411"/>
    <w:rsid w:val="77F76360"/>
    <w:rsid w:val="78061E7B"/>
    <w:rsid w:val="780B56E4"/>
    <w:rsid w:val="78194988"/>
    <w:rsid w:val="781E0F73"/>
    <w:rsid w:val="782A5B6A"/>
    <w:rsid w:val="786077DD"/>
    <w:rsid w:val="7862635D"/>
    <w:rsid w:val="78640B27"/>
    <w:rsid w:val="786436F3"/>
    <w:rsid w:val="78650950"/>
    <w:rsid w:val="786C7F30"/>
    <w:rsid w:val="7883527A"/>
    <w:rsid w:val="788C0403"/>
    <w:rsid w:val="78970D25"/>
    <w:rsid w:val="789E7611"/>
    <w:rsid w:val="78B64D80"/>
    <w:rsid w:val="78B6598C"/>
    <w:rsid w:val="78B673FD"/>
    <w:rsid w:val="78BF40C9"/>
    <w:rsid w:val="78D7479A"/>
    <w:rsid w:val="78E977D3"/>
    <w:rsid w:val="78EA70A7"/>
    <w:rsid w:val="78F30652"/>
    <w:rsid w:val="790965B0"/>
    <w:rsid w:val="791A5BDE"/>
    <w:rsid w:val="792326D9"/>
    <w:rsid w:val="79270D8A"/>
    <w:rsid w:val="79420C91"/>
    <w:rsid w:val="794B017F"/>
    <w:rsid w:val="795D1F6F"/>
    <w:rsid w:val="796926C2"/>
    <w:rsid w:val="797A5FDF"/>
    <w:rsid w:val="797E490C"/>
    <w:rsid w:val="798968EB"/>
    <w:rsid w:val="79911837"/>
    <w:rsid w:val="79AB2CDA"/>
    <w:rsid w:val="79C6222F"/>
    <w:rsid w:val="79CA42A6"/>
    <w:rsid w:val="79D30DA7"/>
    <w:rsid w:val="79D86597"/>
    <w:rsid w:val="79DF2224"/>
    <w:rsid w:val="79E37743"/>
    <w:rsid w:val="7A0E47D5"/>
    <w:rsid w:val="7A204DCF"/>
    <w:rsid w:val="7A2E762F"/>
    <w:rsid w:val="7A301431"/>
    <w:rsid w:val="7A410F49"/>
    <w:rsid w:val="7A432F13"/>
    <w:rsid w:val="7A465A47"/>
    <w:rsid w:val="7A5C507C"/>
    <w:rsid w:val="7A666C01"/>
    <w:rsid w:val="7A6730A5"/>
    <w:rsid w:val="7A6B246A"/>
    <w:rsid w:val="7A97216F"/>
    <w:rsid w:val="7A9E283F"/>
    <w:rsid w:val="7ABC421E"/>
    <w:rsid w:val="7AC412C5"/>
    <w:rsid w:val="7ACA4DFF"/>
    <w:rsid w:val="7ACB0D52"/>
    <w:rsid w:val="7AE40AA4"/>
    <w:rsid w:val="7AE75F94"/>
    <w:rsid w:val="7AF10BC1"/>
    <w:rsid w:val="7B1C73DF"/>
    <w:rsid w:val="7B1E374F"/>
    <w:rsid w:val="7B2A7896"/>
    <w:rsid w:val="7B46780A"/>
    <w:rsid w:val="7B4F58E7"/>
    <w:rsid w:val="7B5B5C98"/>
    <w:rsid w:val="7B9F686F"/>
    <w:rsid w:val="7BB3231A"/>
    <w:rsid w:val="7BB43943"/>
    <w:rsid w:val="7BBC11CF"/>
    <w:rsid w:val="7BC9717F"/>
    <w:rsid w:val="7BC973A8"/>
    <w:rsid w:val="7BD902AC"/>
    <w:rsid w:val="7C0641F8"/>
    <w:rsid w:val="7C08699D"/>
    <w:rsid w:val="7C0E12FE"/>
    <w:rsid w:val="7C122B9D"/>
    <w:rsid w:val="7C280240"/>
    <w:rsid w:val="7C284DF2"/>
    <w:rsid w:val="7C2D79D7"/>
    <w:rsid w:val="7C332759"/>
    <w:rsid w:val="7C417CE1"/>
    <w:rsid w:val="7C4371FA"/>
    <w:rsid w:val="7C5F1B5A"/>
    <w:rsid w:val="7C687E16"/>
    <w:rsid w:val="7C6F7FEF"/>
    <w:rsid w:val="7C8714ED"/>
    <w:rsid w:val="7C8A68A8"/>
    <w:rsid w:val="7CAB2FF1"/>
    <w:rsid w:val="7CBD552F"/>
    <w:rsid w:val="7CC876B0"/>
    <w:rsid w:val="7CDB4A8A"/>
    <w:rsid w:val="7CE65DD7"/>
    <w:rsid w:val="7CF11156"/>
    <w:rsid w:val="7CFA7970"/>
    <w:rsid w:val="7D0123C3"/>
    <w:rsid w:val="7D036989"/>
    <w:rsid w:val="7D04291E"/>
    <w:rsid w:val="7D051234"/>
    <w:rsid w:val="7D0D6AC5"/>
    <w:rsid w:val="7D10384C"/>
    <w:rsid w:val="7D1868D9"/>
    <w:rsid w:val="7D25537B"/>
    <w:rsid w:val="7D494CE4"/>
    <w:rsid w:val="7D547151"/>
    <w:rsid w:val="7D686059"/>
    <w:rsid w:val="7D9615AC"/>
    <w:rsid w:val="7DA104EE"/>
    <w:rsid w:val="7DB979D8"/>
    <w:rsid w:val="7DBA173E"/>
    <w:rsid w:val="7DBC2D12"/>
    <w:rsid w:val="7DE14013"/>
    <w:rsid w:val="7DE30207"/>
    <w:rsid w:val="7DE44A0D"/>
    <w:rsid w:val="7DE467BB"/>
    <w:rsid w:val="7DEB606B"/>
    <w:rsid w:val="7E01111B"/>
    <w:rsid w:val="7E104FBB"/>
    <w:rsid w:val="7E1D1CCD"/>
    <w:rsid w:val="7E251773"/>
    <w:rsid w:val="7E3F7C2C"/>
    <w:rsid w:val="7E494870"/>
    <w:rsid w:val="7E4C610E"/>
    <w:rsid w:val="7E59645A"/>
    <w:rsid w:val="7E67221C"/>
    <w:rsid w:val="7E6B47E6"/>
    <w:rsid w:val="7E6F07B5"/>
    <w:rsid w:val="7E7476ED"/>
    <w:rsid w:val="7E7B36FD"/>
    <w:rsid w:val="7E941F8F"/>
    <w:rsid w:val="7E977CD1"/>
    <w:rsid w:val="7E9B406E"/>
    <w:rsid w:val="7EB10B1B"/>
    <w:rsid w:val="7EB3768F"/>
    <w:rsid w:val="7EBA60B3"/>
    <w:rsid w:val="7EBF57AF"/>
    <w:rsid w:val="7EC474A6"/>
    <w:rsid w:val="7ECC68B4"/>
    <w:rsid w:val="7EE54B0A"/>
    <w:rsid w:val="7F2B3B60"/>
    <w:rsid w:val="7F363046"/>
    <w:rsid w:val="7F3E3632"/>
    <w:rsid w:val="7F484B27"/>
    <w:rsid w:val="7F5C05D3"/>
    <w:rsid w:val="7F671451"/>
    <w:rsid w:val="7F6D1AF0"/>
    <w:rsid w:val="7F743B6E"/>
    <w:rsid w:val="7F79630E"/>
    <w:rsid w:val="7F874751"/>
    <w:rsid w:val="7F9D30C5"/>
    <w:rsid w:val="7FA17A0D"/>
    <w:rsid w:val="7FB15F3A"/>
    <w:rsid w:val="7FBA7420"/>
    <w:rsid w:val="7FBD72C3"/>
    <w:rsid w:val="7FBE4DEA"/>
    <w:rsid w:val="7FE026A5"/>
    <w:rsid w:val="7FEE1B73"/>
    <w:rsid w:val="7FFD3D87"/>
    <w:rsid w:val="7FFE0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after="330" w:line="576" w:lineRule="auto"/>
      <w:ind w:firstLine="0" w:firstLineChars="0"/>
      <w:jc w:val="center"/>
      <w:outlineLvl w:val="0"/>
    </w:pPr>
    <w:rPr>
      <w:rFonts w:ascii="Times New Roman" w:hAnsi="Times New Roman" w:eastAsia="宋体" w:cs="Times New Roman"/>
      <w:b/>
      <w:kern w:val="44"/>
      <w:sz w:val="32"/>
      <w:szCs w:val="22"/>
    </w:rPr>
  </w:style>
  <w:style w:type="paragraph" w:styleId="3">
    <w:name w:val="heading 2"/>
    <w:basedOn w:val="1"/>
    <w:next w:val="1"/>
    <w:link w:val="27"/>
    <w:semiHidden/>
    <w:unhideWhenUsed/>
    <w:qFormat/>
    <w:uiPriority w:val="0"/>
    <w:pPr>
      <w:keepNext/>
      <w:keepLines/>
      <w:adjustRightInd w:val="0"/>
      <w:snapToGrid w:val="0"/>
      <w:spacing w:before="50" w:beforeLines="50" w:after="50" w:afterLines="50" w:line="440" w:lineRule="exact"/>
      <w:ind w:firstLine="0" w:firstLineChars="0"/>
      <w:jc w:val="left"/>
      <w:outlineLvl w:val="1"/>
    </w:pPr>
    <w:rPr>
      <w:b/>
      <w:bCs/>
      <w:kern w:val="0"/>
      <w:szCs w:val="28"/>
    </w:rPr>
  </w:style>
  <w:style w:type="paragraph" w:styleId="4">
    <w:name w:val="heading 3"/>
    <w:basedOn w:val="1"/>
    <w:next w:val="1"/>
    <w:link w:val="28"/>
    <w:semiHidden/>
    <w:unhideWhenUsed/>
    <w:qFormat/>
    <w:uiPriority w:val="0"/>
    <w:pPr>
      <w:keepNext/>
      <w:keepLines/>
      <w:spacing w:before="60" w:line="500" w:lineRule="exact"/>
      <w:ind w:firstLine="480" w:firstLineChars="200"/>
      <w:outlineLvl w:val="2"/>
    </w:pPr>
    <w:rPr>
      <w:rFonts w:eastAsia="宋体"/>
      <w:b/>
      <w:bCs/>
      <w:color w:val="000000" w:themeColor="text1"/>
      <w:sz w:val="26"/>
      <w:szCs w:val="32"/>
      <w14:textFill>
        <w14:solidFill>
          <w14:schemeClr w14:val="tx1"/>
        </w14:solidFill>
      </w14:textFill>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semiHidden/>
    <w:unhideWhenUsed/>
    <w:qFormat/>
    <w:uiPriority w:val="0"/>
    <w:pPr>
      <w:ind w:firstLine="0" w:firstLineChars="0"/>
      <w:jc w:val="center"/>
    </w:pPr>
    <w:rPr>
      <w:rFonts w:ascii="Arial" w:hAnsi="Arial" w:eastAsia="宋体" w:cs="Arial"/>
      <w:sz w:val="24"/>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afterAutospacing="0"/>
    </w:pPr>
  </w:style>
  <w:style w:type="paragraph" w:styleId="9">
    <w:name w:val="List Bullet 5"/>
    <w:basedOn w:val="1"/>
    <w:qFormat/>
    <w:uiPriority w:val="0"/>
    <w:pPr>
      <w:numPr>
        <w:ilvl w:val="0"/>
        <w:numId w:val="1"/>
      </w:numPr>
    </w:pPr>
  </w:style>
  <w:style w:type="paragraph" w:styleId="10">
    <w:name w:val="Body Text Indent"/>
    <w:basedOn w:val="1"/>
    <w:next w:val="1"/>
    <w:qFormat/>
    <w:uiPriority w:val="0"/>
    <w:pPr>
      <w:spacing w:after="120"/>
      <w:ind w:left="420" w:leftChars="200"/>
    </w:pPr>
  </w:style>
  <w:style w:type="paragraph" w:styleId="11">
    <w:name w:val="index 4"/>
    <w:basedOn w:val="1"/>
    <w:next w:val="1"/>
    <w:semiHidden/>
    <w:qFormat/>
    <w:uiPriority w:val="0"/>
    <w:pPr>
      <w:ind w:left="600" w:leftChars="600"/>
    </w:pPr>
  </w:style>
  <w:style w:type="paragraph" w:styleId="12">
    <w:name w:val="Plain Text"/>
    <w:basedOn w:val="1"/>
    <w:qFormat/>
    <w:uiPriority w:val="0"/>
    <w:rPr>
      <w:rFonts w:ascii="宋体" w:hAnsi="Courier New" w:cs="黑体"/>
      <w:sz w:val="24"/>
      <w:szCs w:val="22"/>
    </w:rPr>
  </w:style>
  <w:style w:type="paragraph" w:styleId="13">
    <w:name w:val="Body Text Indent 2"/>
    <w:basedOn w:val="1"/>
    <w:next w:val="14"/>
    <w:unhideWhenUsed/>
    <w:qFormat/>
    <w:uiPriority w:val="0"/>
    <w:pPr>
      <w:spacing w:after="120" w:line="480" w:lineRule="auto"/>
      <w:ind w:left="420" w:leftChars="200"/>
    </w:pPr>
  </w:style>
  <w:style w:type="paragraph" w:styleId="14">
    <w:name w:val="Body Text First Indent 2"/>
    <w:basedOn w:val="1"/>
    <w:next w:val="1"/>
    <w:qFormat/>
    <w:uiPriority w:val="0"/>
    <w:pPr>
      <w:ind w:firstLine="420" w:firstLineChars="200"/>
    </w:pPr>
    <w:rPr>
      <w:kern w:val="2"/>
      <w:sz w:val="21"/>
      <w:szCs w:val="24"/>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pPr>
      <w:ind w:firstLine="0" w:firstLineChars="0"/>
    </w:pPr>
    <w:rPr>
      <w:rFonts w:ascii="Times New Roman" w:hAnsi="Times New Roman" w:eastAsia="宋体" w:cs="Times New Roman"/>
      <w:szCs w:val="22"/>
    </w:rPr>
  </w:style>
  <w:style w:type="paragraph" w:styleId="18">
    <w:name w:val="table of figures"/>
    <w:basedOn w:val="1"/>
    <w:next w:val="1"/>
    <w:qFormat/>
    <w:uiPriority w:val="0"/>
    <w:pPr>
      <w:ind w:leftChars="200" w:hanging="200" w:hangingChars="200"/>
    </w:pPr>
  </w:style>
  <w:style w:type="paragraph" w:styleId="19">
    <w:name w:val="Body Text 2"/>
    <w:basedOn w:val="1"/>
    <w:next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8"/>
    <w:next w:val="1"/>
    <w:qFormat/>
    <w:uiPriority w:val="0"/>
    <w:pPr>
      <w:ind w:firstLine="420" w:firstLineChars="100"/>
    </w:p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qFormat/>
    <w:uiPriority w:val="0"/>
    <w:rPr>
      <w:color w:val="0000FF"/>
      <w:u w:val="single"/>
    </w:rPr>
  </w:style>
  <w:style w:type="character" w:customStyle="1" w:styleId="27">
    <w:name w:val="标题 2 Char"/>
    <w:link w:val="3"/>
    <w:qFormat/>
    <w:uiPriority w:val="0"/>
    <w:rPr>
      <w:rFonts w:ascii="Times New Roman" w:hAnsi="Times New Roman" w:eastAsia="宋体" w:cs="宋体"/>
      <w:sz w:val="28"/>
      <w:szCs w:val="36"/>
      <w:lang w:val="en-US" w:eastAsia="zh-CN" w:bidi="ar-SA"/>
    </w:rPr>
  </w:style>
  <w:style w:type="character" w:customStyle="1" w:styleId="28">
    <w:name w:val="标题 3 Char"/>
    <w:link w:val="4"/>
    <w:qFormat/>
    <w:uiPriority w:val="1"/>
    <w:rPr>
      <w:rFonts w:ascii="Times New Roman" w:hAnsi="Times New Roman" w:eastAsia="宋体"/>
      <w:b/>
      <w:bCs/>
      <w:sz w:val="28"/>
      <w:szCs w:val="32"/>
    </w:rPr>
  </w:style>
  <w:style w:type="paragraph" w:customStyle="1" w:styleId="29">
    <w:name w:val="xl27"/>
    <w:basedOn w:val="1"/>
    <w:next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3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paragraph" w:customStyle="1" w:styleId="32">
    <w:name w:val="环评第一页"/>
    <w:next w:val="1"/>
    <w:qFormat/>
    <w:uiPriority w:val="0"/>
    <w:pPr>
      <w:spacing w:beforeAutospacing="1" w:line="240" w:lineRule="auto"/>
      <w:jc w:val="center"/>
    </w:pPr>
    <w:rPr>
      <w:rFonts w:ascii="Calibri" w:hAnsi="Calibri" w:eastAsia="Calibri" w:cstheme="minorBidi"/>
    </w:rPr>
  </w:style>
  <w:style w:type="paragraph" w:customStyle="1" w:styleId="33">
    <w:name w:val="1表格"/>
    <w:basedOn w:val="1"/>
    <w:qFormat/>
    <w:uiPriority w:val="0"/>
    <w:pPr>
      <w:pBdr>
        <w:top w:val="none" w:color="auto" w:sz="0" w:space="1"/>
        <w:left w:val="none" w:color="auto" w:sz="0" w:space="4"/>
        <w:bottom w:val="none" w:color="auto" w:sz="0" w:space="1"/>
        <w:right w:val="none" w:color="auto" w:sz="0" w:space="4"/>
      </w:pBdr>
      <w:snapToGrid w:val="0"/>
      <w:spacing w:line="240" w:lineRule="auto"/>
      <w:ind w:firstLine="0" w:firstLineChars="0"/>
      <w:jc w:val="center"/>
    </w:pPr>
    <w:rPr>
      <w:rFonts w:ascii="Times New Roman" w:hAnsi="Times New Roman" w:eastAsia="宋体" w:cs="Times New Roman"/>
      <w:color w:val="000000"/>
      <w:spacing w:val="4"/>
      <w:kern w:val="0"/>
      <w:sz w:val="21"/>
    </w:rPr>
  </w:style>
  <w:style w:type="paragraph" w:customStyle="1" w:styleId="34">
    <w:name w:val="表格1"/>
    <w:basedOn w:val="1"/>
    <w:qFormat/>
    <w:uiPriority w:val="0"/>
    <w:pPr>
      <w:spacing w:line="240" w:lineRule="exact"/>
      <w:ind w:firstLine="0" w:firstLineChars="0"/>
      <w:jc w:val="center"/>
    </w:pPr>
    <w:rPr>
      <w:sz w:val="21"/>
      <w:szCs w:val="21"/>
    </w:rPr>
  </w:style>
  <w:style w:type="paragraph" w:customStyle="1" w:styleId="35">
    <w:name w:val="表格样式"/>
    <w:basedOn w:val="1"/>
    <w:qFormat/>
    <w:uiPriority w:val="0"/>
    <w:pPr>
      <w:spacing w:line="360" w:lineRule="exact"/>
      <w:ind w:firstLine="0" w:firstLineChars="0"/>
      <w:jc w:val="center"/>
    </w:pPr>
    <w:rPr>
      <w:sz w:val="24"/>
    </w:rPr>
  </w:style>
  <w:style w:type="character" w:customStyle="1" w:styleId="36">
    <w:name w:val="标题 1 Char1"/>
    <w:link w:val="2"/>
    <w:qFormat/>
    <w:uiPriority w:val="0"/>
    <w:rPr>
      <w:rFonts w:ascii="Times New Roman" w:hAnsi="Times New Roman" w:eastAsia="宋体" w:cs="Times New Roman"/>
      <w:b/>
      <w:kern w:val="44"/>
      <w:sz w:val="32"/>
      <w:szCs w:val="22"/>
      <w:lang w:val="en-US" w:eastAsia="zh-CN" w:bidi="ar-SA"/>
    </w:rPr>
  </w:style>
  <w:style w:type="paragraph" w:customStyle="1" w:styleId="37">
    <w:name w:val="应急预案表格"/>
    <w:basedOn w:val="1"/>
    <w:qFormat/>
    <w:uiPriority w:val="0"/>
    <w:pPr>
      <w:spacing w:line="240" w:lineRule="atLeast"/>
      <w:ind w:firstLine="0" w:firstLineChars="0"/>
      <w:jc w:val="center"/>
    </w:pPr>
    <w:rPr>
      <w:sz w:val="24"/>
    </w:rPr>
  </w:style>
  <w:style w:type="paragraph" w:customStyle="1" w:styleId="38">
    <w:name w:val="预案表格"/>
    <w:basedOn w:val="1"/>
    <w:qFormat/>
    <w:uiPriority w:val="0"/>
    <w:pPr>
      <w:spacing w:line="240" w:lineRule="atLeast"/>
      <w:ind w:firstLine="0" w:firstLineChars="0"/>
      <w:jc w:val="center"/>
    </w:pPr>
    <w:rPr>
      <w:sz w:val="24"/>
    </w:rPr>
  </w:style>
  <w:style w:type="paragraph" w:customStyle="1" w:styleId="39">
    <w:name w:val="应急预案表格1"/>
    <w:basedOn w:val="1"/>
    <w:qFormat/>
    <w:uiPriority w:val="0"/>
    <w:pPr>
      <w:spacing w:line="240" w:lineRule="atLeast"/>
      <w:ind w:firstLine="0" w:firstLineChars="0"/>
      <w:jc w:val="center"/>
    </w:pPr>
    <w:rPr>
      <w:sz w:val="24"/>
    </w:rPr>
  </w:style>
  <w:style w:type="paragraph" w:customStyle="1" w:styleId="40">
    <w:name w:val="图样式"/>
    <w:basedOn w:val="1"/>
    <w:qFormat/>
    <w:uiPriority w:val="0"/>
    <w:pPr>
      <w:spacing w:line="240" w:lineRule="auto"/>
      <w:ind w:firstLine="0" w:firstLineChars="0"/>
    </w:pPr>
    <w:rPr>
      <w:sz w:val="24"/>
    </w:rPr>
  </w:style>
  <w:style w:type="paragraph" w:customStyle="1" w:styleId="41">
    <w:name w:val="表格"/>
    <w:basedOn w:val="42"/>
    <w:next w:val="1"/>
    <w:qFormat/>
    <w:uiPriority w:val="0"/>
    <w:pPr>
      <w:tabs>
        <w:tab w:val="left" w:pos="893"/>
      </w:tabs>
      <w:jc w:val="center"/>
    </w:pPr>
    <w:rPr>
      <w:sz w:val="24"/>
    </w:rPr>
  </w:style>
  <w:style w:type="paragraph" w:customStyle="1" w:styleId="42">
    <w:name w:val="表头"/>
    <w:basedOn w:val="43"/>
    <w:next w:val="1"/>
    <w:qFormat/>
    <w:uiPriority w:val="0"/>
    <w:pPr>
      <w:tabs>
        <w:tab w:val="left" w:pos="893"/>
      </w:tabs>
      <w:jc w:val="center"/>
    </w:pPr>
    <w:rPr>
      <w:rFonts w:eastAsia="黑体"/>
      <w:color w:val="000000"/>
      <w:sz w:val="28"/>
      <w:szCs w:val="28"/>
    </w:rPr>
  </w:style>
  <w:style w:type="paragraph" w:customStyle="1" w:styleId="43">
    <w:name w:val="A正文"/>
    <w:basedOn w:val="1"/>
    <w:qFormat/>
    <w:uiPriority w:val="0"/>
    <w:pPr>
      <w:tabs>
        <w:tab w:val="left" w:pos="893"/>
      </w:tabs>
      <w:spacing w:before="100" w:beforeAutospacing="1"/>
      <w:jc w:val="left"/>
    </w:pPr>
    <w:rPr>
      <w:snapToGrid w:val="0"/>
      <w:kern w:val="0"/>
      <w:szCs w:val="20"/>
      <w:lang w:val="zh-CN"/>
    </w:rPr>
  </w:style>
  <w:style w:type="paragraph" w:styleId="44">
    <w:name w:val="No Spacing"/>
    <w:qFormat/>
    <w:uiPriority w:val="0"/>
    <w:pPr>
      <w:widowControl w:val="0"/>
      <w:jc w:val="both"/>
    </w:pPr>
    <w:rPr>
      <w:rFonts w:ascii="Times New Roman" w:hAnsi="Times New Roman" w:eastAsia="宋体" w:cs="Times New Roman"/>
      <w:kern w:val="2"/>
      <w:sz w:val="24"/>
      <w:lang w:val="en-US" w:eastAsia="zh-CN" w:bidi="ar-SA"/>
    </w:rPr>
  </w:style>
  <w:style w:type="paragraph" w:customStyle="1" w:styleId="45">
    <w:name w:val="表格文字"/>
    <w:basedOn w:val="1"/>
    <w:qFormat/>
    <w:uiPriority w:val="0"/>
    <w:pPr>
      <w:adjustRightInd w:val="0"/>
      <w:snapToGrid w:val="0"/>
      <w:jc w:val="center"/>
    </w:pPr>
    <w:rPr>
      <w:rFonts w:ascii="Arial" w:hAnsi="Arial" w:cs="Arial"/>
      <w:color w:val="000000"/>
      <w:spacing w:val="-20"/>
      <w:sz w:val="24"/>
      <w:szCs w:val="20"/>
    </w:rPr>
  </w:style>
  <w:style w:type="paragraph" w:customStyle="1" w:styleId="46">
    <w:name w:val="Table Paragraph"/>
    <w:basedOn w:val="1"/>
    <w:qFormat/>
    <w:uiPriority w:val="0"/>
    <w:pPr>
      <w:jc w:val="center"/>
    </w:pPr>
    <w:rPr>
      <w:rFonts w:ascii="宋体" w:hAnsi="宋体" w:cs="宋体"/>
      <w:kern w:val="0"/>
      <w:sz w:val="22"/>
      <w:szCs w:val="22"/>
      <w:lang w:eastAsia="en-US"/>
    </w:rPr>
  </w:style>
  <w:style w:type="paragraph" w:customStyle="1" w:styleId="47">
    <w:name w:val="【表中文字】"/>
    <w:basedOn w:val="1"/>
    <w:qFormat/>
    <w:uiPriority w:val="0"/>
    <w:pPr>
      <w:jc w:val="center"/>
    </w:pPr>
    <w:rPr>
      <w:szCs w:val="20"/>
    </w:rPr>
  </w:style>
  <w:style w:type="paragraph" w:customStyle="1" w:styleId="48">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character" w:customStyle="1" w:styleId="49">
    <w:name w:val="Body text (2)_"/>
    <w:link w:val="50"/>
    <w:qFormat/>
    <w:uiPriority w:val="0"/>
    <w:rPr>
      <w:rFonts w:eastAsia="Times New Roman"/>
      <w:kern w:val="0"/>
      <w:sz w:val="26"/>
      <w:szCs w:val="26"/>
    </w:rPr>
  </w:style>
  <w:style w:type="paragraph" w:customStyle="1" w:styleId="50">
    <w:name w:val="Body text (2)"/>
    <w:basedOn w:val="1"/>
    <w:link w:val="49"/>
    <w:qFormat/>
    <w:uiPriority w:val="0"/>
    <w:pPr>
      <w:shd w:val="clear" w:color="auto" w:fill="FFFFFF"/>
      <w:spacing w:line="503" w:lineRule="exact"/>
      <w:jc w:val="distribute"/>
    </w:pPr>
    <w:rPr>
      <w:rFonts w:eastAsia="Times New Roman"/>
      <w:kern w:val="0"/>
      <w:sz w:val="26"/>
      <w:szCs w:val="26"/>
    </w:rPr>
  </w:style>
  <w:style w:type="paragraph" w:customStyle="1" w:styleId="51">
    <w:name w:val="000000"/>
    <w:basedOn w:val="1"/>
    <w:qFormat/>
    <w:uiPriority w:val="0"/>
    <w:pPr>
      <w:widowControl/>
      <w:jc w:val="center"/>
    </w:pPr>
    <w:rPr>
      <w:b/>
      <w:kern w:val="0"/>
      <w:szCs w:val="20"/>
      <w:lang w:val="en-GB"/>
    </w:rPr>
  </w:style>
  <w:style w:type="paragraph" w:customStyle="1" w:styleId="52">
    <w:name w:val="无间隔表格内"/>
    <w:basedOn w:val="53"/>
    <w:qFormat/>
    <w:uiPriority w:val="0"/>
    <w:rPr>
      <w:b w:val="0"/>
      <w:sz w:val="21"/>
    </w:rPr>
  </w:style>
  <w:style w:type="paragraph" w:customStyle="1" w:styleId="53">
    <w:name w:val="表   头"/>
    <w:basedOn w:val="1"/>
    <w:qFormat/>
    <w:uiPriority w:val="0"/>
    <w:pPr>
      <w:snapToGrid w:val="0"/>
      <w:jc w:val="center"/>
    </w:pPr>
    <w:rPr>
      <w:b/>
      <w:kern w:val="0"/>
      <w:sz w:val="20"/>
      <w:szCs w:val="20"/>
    </w:rPr>
  </w:style>
  <w:style w:type="paragraph" w:customStyle="1" w:styleId="54">
    <w:name w:val="【正文】"/>
    <w:basedOn w:val="1"/>
    <w:qFormat/>
    <w:uiPriority w:val="0"/>
    <w:pPr>
      <w:widowControl/>
      <w:spacing w:line="440" w:lineRule="exact"/>
      <w:ind w:firstLine="544"/>
      <w:jc w:val="left"/>
    </w:pPr>
    <w:rPr>
      <w:rFonts w:cs="宋体"/>
      <w:color w:val="000000"/>
      <w:sz w:val="24"/>
    </w:rPr>
  </w:style>
  <w:style w:type="paragraph" w:customStyle="1" w:styleId="55">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styleId="56">
    <w:name w:val="List Paragraph"/>
    <w:basedOn w:val="1"/>
    <w:qFormat/>
    <w:uiPriority w:val="34"/>
    <w:pPr>
      <w:ind w:firstLine="420" w:firstLineChars="200"/>
    </w:pPr>
  </w:style>
  <w:style w:type="paragraph" w:customStyle="1" w:styleId="57">
    <w:name w:val="正文 + 仿宋_GB2312"/>
    <w:basedOn w:val="1"/>
    <w:qFormat/>
    <w:uiPriority w:val="99"/>
    <w:pPr>
      <w:ind w:firstLine="480" w:firstLineChars="200"/>
    </w:pPr>
    <w:rPr>
      <w:rFonts w:ascii="仿宋_GB2312" w:hAnsi="Calibri" w:eastAsia="仿宋_GB2312" w:cs="Times New Roman"/>
      <w:sz w:val="24"/>
    </w:rPr>
  </w:style>
  <w:style w:type="paragraph" w:customStyle="1" w:styleId="58">
    <w:name w:val="Body Text 22"/>
    <w:basedOn w:val="1"/>
    <w:qFormat/>
    <w:uiPriority w:val="0"/>
    <w:pPr>
      <w:adjustRightInd w:val="0"/>
      <w:spacing w:line="440" w:lineRule="atLeast"/>
      <w:ind w:firstLine="480" w:firstLineChars="0"/>
      <w:textAlignment w:val="baseline"/>
    </w:pPr>
    <w:rPr>
      <w:rFonts w:eastAsia="仿宋_GB2312" w:cs="宋体"/>
      <w:color w:val="000000"/>
      <w:kern w:val="2"/>
    </w:rPr>
  </w:style>
  <w:style w:type="paragraph" w:customStyle="1" w:styleId="59">
    <w:name w:val="整篇标题"/>
    <w:basedOn w:val="1"/>
    <w:next w:val="1"/>
    <w:qFormat/>
    <w:uiPriority w:val="0"/>
    <w:pPr>
      <w:ind w:firstLine="198" w:firstLineChars="55"/>
      <w:jc w:val="center"/>
    </w:pPr>
    <w:rPr>
      <w:rFonts w:ascii="华文中宋" w:hAnsi="华文中宋" w:eastAsia="华文中宋" w:cs="Times New Roman"/>
      <w:snapToGrid w:val="0"/>
      <w:color w:val="auto"/>
      <w:kern w:val="2"/>
      <w:sz w:val="36"/>
      <w:szCs w:val="36"/>
      <w:lang w:val="zh-CN" w:eastAsia="zh-CN"/>
    </w:rPr>
  </w:style>
  <w:style w:type="table" w:customStyle="1" w:styleId="60">
    <w:name w:val="Table Normal"/>
    <w:unhideWhenUsed/>
    <w:qFormat/>
    <w:uiPriority w:val="0"/>
    <w:tblPr>
      <w:tblCellMar>
        <w:top w:w="0" w:type="dxa"/>
        <w:left w:w="0" w:type="dxa"/>
        <w:bottom w:w="0" w:type="dxa"/>
        <w:right w:w="0" w:type="dxa"/>
      </w:tblCellMar>
    </w:tblPr>
  </w:style>
  <w:style w:type="paragraph" w:customStyle="1" w:styleId="61">
    <w:name w:val="Table Text"/>
    <w:basedOn w:val="1"/>
    <w:semiHidden/>
    <w:qFormat/>
    <w:uiPriority w:val="0"/>
    <w:rPr>
      <w:rFonts w:ascii="宋体" w:hAnsi="宋体" w:eastAsia="宋体" w:cs="宋体"/>
      <w:sz w:val="20"/>
      <w:szCs w:val="20"/>
      <w:lang w:val="en-US" w:eastAsia="en-US" w:bidi="ar-SA"/>
    </w:rPr>
  </w:style>
  <w:style w:type="character" w:customStyle="1" w:styleId="62">
    <w:name w:val="fontstyle01"/>
    <w:qFormat/>
    <w:uiPriority w:val="0"/>
    <w:rPr>
      <w:rFonts w:hint="eastAsia" w:ascii="宋体" w:hAnsi="宋体" w:eastAsia="宋体"/>
      <w:color w:val="000000"/>
      <w:sz w:val="24"/>
      <w:szCs w:val="24"/>
    </w:rPr>
  </w:style>
  <w:style w:type="paragraph" w:customStyle="1" w:styleId="63">
    <w:name w:val="1表头"/>
    <w:autoRedefine/>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64">
    <w:name w:val="阿威表格"/>
    <w:basedOn w:val="1"/>
    <w:qFormat/>
    <w:uiPriority w:val="0"/>
    <w:pPr>
      <w:widowControl/>
      <w:jc w:val="center"/>
    </w:pPr>
    <w:rPr>
      <w:rFonts w:ascii="Times New Roman" w:hAnsi="Times New Roman" w:eastAsia="宋体" w:cs="Times New Roman"/>
    </w:rPr>
  </w:style>
  <w:style w:type="character" w:customStyle="1" w:styleId="65">
    <w:name w:val="font21"/>
    <w:basedOn w:val="24"/>
    <w:qFormat/>
    <w:uiPriority w:val="0"/>
    <w:rPr>
      <w:rFonts w:hint="eastAsia" w:ascii="宋体" w:hAnsi="宋体" w:eastAsia="宋体" w:cs="宋体"/>
      <w:color w:val="000000"/>
      <w:sz w:val="21"/>
      <w:szCs w:val="21"/>
      <w:u w:val="none"/>
    </w:rPr>
  </w:style>
  <w:style w:type="character" w:customStyle="1" w:styleId="66">
    <w:name w:val="font11"/>
    <w:basedOn w:val="2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13134</Words>
  <Characters>14458</Characters>
  <Lines>0</Lines>
  <Paragraphs>0</Paragraphs>
  <TotalTime>6</TotalTime>
  <ScaleCrop>false</ScaleCrop>
  <LinksUpToDate>false</LinksUpToDate>
  <CharactersWithSpaces>14626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宝妈</cp:lastModifiedBy>
  <cp:lastPrinted>2024-10-10T06:06:00Z</cp:lastPrinted>
  <dcterms:modified xsi:type="dcterms:W3CDTF">2024-11-19T07:40:08Z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B351B515EBF1405FA692CEF6BE969B87_13</vt:lpwstr>
  </property>
</Properties>
</file>