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1" w:name="_GoBack"/>
      <w:bookmarkStart w:id="0" w:name="OLE_LINK2"/>
      <w:r>
        <w:rPr>
          <w:rFonts w:hint="eastAsia" w:ascii="方正小标宋简体" w:hAnsi="方正小标宋简体" w:eastAsia="方正小标宋简体" w:cs="方正小标宋简体"/>
          <w:sz w:val="44"/>
          <w:szCs w:val="44"/>
          <w:lang w:eastAsia="zh-CN"/>
        </w:rPr>
        <w:t>宝鸡市陈仓区</w:t>
      </w:r>
      <w:r>
        <w:rPr>
          <w:rFonts w:hint="eastAsia" w:ascii="方正小标宋简体" w:hAnsi="方正小标宋简体" w:eastAsia="方正小标宋简体" w:cs="方正小标宋简体"/>
          <w:sz w:val="44"/>
          <w:szCs w:val="44"/>
        </w:rPr>
        <w:t>财政常态化帮扶资金</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管理实施办法</w:t>
      </w:r>
    </w:p>
    <w:bookmarkEnd w:id="1"/>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为规范财政常态化帮扶资金管理，提高资金使用效益，根据</w:t>
      </w:r>
      <w:r>
        <w:rPr>
          <w:rFonts w:hint="eastAsia" w:ascii="仿宋_GB2312" w:hAnsi="仿宋_GB2312" w:eastAsia="仿宋_GB2312" w:cs="仿宋_GB2312"/>
          <w:sz w:val="32"/>
          <w:szCs w:val="32"/>
          <w:lang w:eastAsia="zh-CN"/>
        </w:rPr>
        <w:t>《中华人民共和国预算法》及其实施条例、《宝鸡市财政常态化帮扶资金管理实施办法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宝市财办</w:t>
      </w:r>
      <w:r>
        <w:rPr>
          <w:rFonts w:hint="eastAsia" w:ascii="仿宋_GB2312" w:hAnsi="仿宋_GB2312" w:eastAsia="仿宋_GB2312" w:cs="仿宋_GB2312"/>
          <w:sz w:val="32"/>
          <w:szCs w:val="32"/>
        </w:rPr>
        <w:t>农</w:t>
      </w:r>
      <w:r>
        <w:rPr>
          <w:rFonts w:hint="eastAsia" w:ascii="仿宋_GB2312" w:hAnsi="仿宋_GB2312" w:eastAsia="仿宋_GB2312" w:cs="仿宋_GB2312"/>
          <w:sz w:val="32"/>
          <w:szCs w:val="32"/>
          <w:lang w:eastAsia="zh-CN"/>
        </w:rPr>
        <w:t>字</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号）等有关规定，结合我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实际，制定本实施办法。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本办法所称财政常态化帮扶资金（以下简称帮扶资金），是指中央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省级</w:t>
      </w:r>
      <w:r>
        <w:rPr>
          <w:rFonts w:hint="eastAsia" w:ascii="仿宋_GB2312" w:hAnsi="仿宋_GB2312" w:eastAsia="仿宋_GB2312" w:cs="仿宋_GB2312"/>
          <w:sz w:val="32"/>
          <w:szCs w:val="32"/>
          <w:lang w:eastAsia="zh-CN"/>
        </w:rPr>
        <w:t>、市级和区级</w:t>
      </w:r>
      <w:r>
        <w:rPr>
          <w:rFonts w:hint="eastAsia" w:ascii="仿宋_GB2312" w:hAnsi="仿宋_GB2312" w:eastAsia="仿宋_GB2312" w:cs="仿宋_GB2312"/>
          <w:sz w:val="32"/>
          <w:szCs w:val="32"/>
        </w:rPr>
        <w:t>财政安排重点用于支持产业帮扶、就业帮扶及欠发达地区开发式帮扶的资金。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帮扶资金分为开发式帮扶、以工代赈、少数民族发展、欠发达国有林场巩固提升</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个任务方向。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第二章 资金用途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rPr>
        <w:t>中央帮扶资金</w:t>
      </w:r>
      <w:r>
        <w:rPr>
          <w:rFonts w:hint="eastAsia" w:ascii="仿宋_GB2312" w:hAnsi="仿宋_GB2312" w:eastAsia="仿宋_GB2312" w:cs="仿宋_GB2312"/>
          <w:sz w:val="32"/>
          <w:szCs w:val="32"/>
          <w:lang w:eastAsia="zh-CN"/>
        </w:rPr>
        <w:t>使用范围，</w:t>
      </w:r>
      <w:r>
        <w:rPr>
          <w:rFonts w:hint="eastAsia" w:ascii="仿宋_GB2312" w:hAnsi="仿宋_GB2312" w:eastAsia="仿宋_GB2312" w:cs="仿宋_GB2312"/>
          <w:sz w:val="32"/>
          <w:szCs w:val="32"/>
        </w:rPr>
        <w:t>主要用于：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重点支持帮扶产业发展，提升产业帮扶质效，优先用于带动防止返贫致贫对象和需要继续帮扶的原建档立卡脱贫人口（以下统称重点帮扶群体）通过产业增收。支持</w:t>
      </w:r>
      <w:r>
        <w:rPr>
          <w:rFonts w:hint="eastAsia" w:ascii="仿宋_GB2312" w:hAnsi="仿宋_GB2312" w:eastAsia="仿宋_GB2312" w:cs="仿宋_GB2312"/>
          <w:sz w:val="32"/>
          <w:szCs w:val="32"/>
          <w:lang w:eastAsia="zh-CN"/>
        </w:rPr>
        <w:t>具有较好资源禀赋、良好市场前景、群众增收带动能力较强的区域农业主导产业和乡村特色产业；</w:t>
      </w:r>
      <w:r>
        <w:rPr>
          <w:rFonts w:hint="eastAsia" w:ascii="仿宋_GB2312" w:hAnsi="仿宋_GB2312" w:eastAsia="仿宋_GB2312" w:cs="仿宋_GB2312"/>
          <w:sz w:val="32"/>
          <w:szCs w:val="32"/>
        </w:rPr>
        <w:t>鼓励运用先进高效农业科学技术</w:t>
      </w:r>
      <w:r>
        <w:rPr>
          <w:rFonts w:hint="eastAsia" w:ascii="仿宋_GB2312" w:hAnsi="仿宋_GB2312" w:eastAsia="仿宋_GB2312" w:cs="仿宋_GB2312"/>
          <w:sz w:val="32"/>
          <w:szCs w:val="32"/>
          <w:lang w:eastAsia="zh-CN"/>
        </w:rPr>
        <w:t>，补上生产、加工、流通等方面短板弱项，推动延链补链强链，促进帮扶产业提档升级；支出必要的产业配套基础设施建设；</w:t>
      </w:r>
      <w:r>
        <w:rPr>
          <w:rFonts w:hint="eastAsia" w:ascii="仿宋_GB2312" w:hAnsi="仿宋_GB2312" w:eastAsia="仿宋_GB2312" w:cs="仿宋_GB2312"/>
          <w:sz w:val="32"/>
          <w:szCs w:val="32"/>
        </w:rPr>
        <w:t>可利用产业帮扶到户奖补政策，支持重点帮扶群体开展生产经营活动；对帮扶小额信贷予以贴息补助。按规定支持发展新型农村集体经济。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安排帮扶资金（少数民族发展任务方向）支持实施民族手工业等特色产业发展；安排帮扶资金（欠发达国有林场巩固提升任务方向）支持发展林场的优势特色产业。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支持重点帮扶群体就业增收。支持吸纳重点帮扶群体等参与小型农村基础设施建设以工代赈项目；对重点帮扶群体开展生产经营和劳动技能培训；对重点帮扶群体家庭新成长劳动力参与“雨露计划”给予补助；对帮扶车间、乡村工匠、劳务品牌吸纳重点帮扶群体就业给予奖补。规范支持重点帮扶群体从事公</w:t>
      </w:r>
      <w:r>
        <w:rPr>
          <w:rFonts w:hint="eastAsia" w:ascii="仿宋_GB2312" w:hAnsi="仿宋_GB2312" w:eastAsia="仿宋_GB2312" w:cs="仿宋_GB2312"/>
          <w:sz w:val="32"/>
          <w:szCs w:val="32"/>
          <w:lang w:eastAsia="zh-CN"/>
        </w:rPr>
        <w:t>益性</w:t>
      </w:r>
      <w:r>
        <w:rPr>
          <w:rFonts w:hint="eastAsia" w:ascii="仿宋_GB2312" w:hAnsi="仿宋_GB2312" w:eastAsia="仿宋_GB2312" w:cs="仿宋_GB2312"/>
          <w:sz w:val="32"/>
          <w:szCs w:val="32"/>
        </w:rPr>
        <w:t>岗位。对重点帮扶群体中符合条件的跨省就业人员每年可安排一次交通补助。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持补齐必要的小型公益性基础设施建设短板。支持道路、饮水保障、排水等村（易地扶贫搬迁集中安置区、欠发达国有农场和林场）内户外小型公益性基础设施建设，解决影响群众基本生产生活的突出困难，促进改善农村人居环境。统筹考虑财力承受度和群众接受度，可以行政村或自然村组等为单位因地制宜片区化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方面。通过开发式帮扶任务继续推动做好“十三五”易地扶贫搬迁后续扶持工作，支持带动搬迁群众增收的项目，适当对社区综合服务设施建设予以补助，对纳入“十三五”易地扶贫搬迁规划的建档立卡贫困人口易地扶贫搬迁贷款和调整规范后的地方政府债券按规定予以贴息补助。落实党中央、国务院部署的其他相关任务事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第五条</w:t>
      </w:r>
      <w:r>
        <w:rPr>
          <w:rFonts w:hint="eastAsia" w:ascii="仿宋_GB2312" w:hAnsi="仿宋_GB2312" w:eastAsia="仿宋_GB2312" w:cs="仿宋_GB2312"/>
          <w:sz w:val="32"/>
          <w:szCs w:val="32"/>
          <w:lang w:val="en-US" w:eastAsia="zh-CN"/>
        </w:rPr>
        <w:t xml:space="preserve"> 省级帮扶资金使用范围，除可用于第四条中央帮扶资金支持范围外，还可以用于以下方面：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（一）对纳入“十三五”期间政策规划的建档立卡贫困人口易地扶贫搬迁贷款和调整规范后的地方政府债券，按规定偿还省级负担的本金；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（二）省级部门实施的与帮扶资金项目管理工作密切相关的支出，包括提级综合论证、项目方案审核、政策业务培训、绩效管理、重点帮扶群体识别监测预警等，纳入省级部门预算管理；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（三）对重点帮扶群体中符合条件的跨市（区）就业人员每年可安排一次性交通补助；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（四）对除帮扶车间、乡村工匠、劳务品牌以外的其他经营主体，吸纳重点帮扶群体就业增收效果明显的，可适当给予奖补或贴息补助。但要逐步减少此类项目资金规模，2027年底前该政策全部退出；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（五）支持补齐便民桥、路灯、生活污水治理、生活垃圾收集等农户聚集村（易地扶贫搬迁集中安置区、欠发达国有林场）内户外必要的小型公益性基础设施建设短板。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（六）落实省委、省政府部署的其他相关任务事项。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eastAsia="zh-CN"/>
        </w:rPr>
        <w:t>市级</w:t>
      </w:r>
      <w:r>
        <w:rPr>
          <w:rFonts w:hint="eastAsia" w:ascii="仿宋_GB2312" w:hAnsi="仿宋_GB2312" w:eastAsia="仿宋_GB2312" w:cs="仿宋_GB2312"/>
          <w:b w:val="0"/>
          <w:bCs w:val="0"/>
          <w:sz w:val="32"/>
          <w:szCs w:val="32"/>
        </w:rPr>
        <w:t>帮扶资金</w:t>
      </w:r>
      <w:r>
        <w:rPr>
          <w:rFonts w:hint="eastAsia" w:ascii="仿宋_GB2312" w:hAnsi="仿宋_GB2312" w:eastAsia="仿宋_GB2312" w:cs="仿宋_GB2312"/>
          <w:sz w:val="32"/>
          <w:szCs w:val="32"/>
        </w:rPr>
        <w:t>除</w:t>
      </w:r>
      <w:r>
        <w:rPr>
          <w:rFonts w:hint="eastAsia" w:ascii="仿宋_GB2312" w:hAnsi="仿宋_GB2312" w:eastAsia="仿宋_GB2312" w:cs="仿宋_GB2312"/>
          <w:sz w:val="32"/>
          <w:szCs w:val="32"/>
          <w:lang w:eastAsia="zh-CN"/>
        </w:rPr>
        <w:t>可用于</w:t>
      </w:r>
      <w:r>
        <w:rPr>
          <w:rFonts w:hint="eastAsia" w:ascii="仿宋_GB2312" w:hAnsi="仿宋_GB2312" w:eastAsia="仿宋_GB2312" w:cs="仿宋_GB2312"/>
          <w:sz w:val="32"/>
          <w:szCs w:val="32"/>
        </w:rPr>
        <w:t>第四</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条中央</w:t>
      </w:r>
      <w:r>
        <w:rPr>
          <w:rFonts w:hint="eastAsia" w:ascii="仿宋_GB2312" w:hAnsi="仿宋_GB2312" w:eastAsia="仿宋_GB2312" w:cs="仿宋_GB2312"/>
          <w:sz w:val="32"/>
          <w:szCs w:val="32"/>
          <w:lang w:eastAsia="zh-CN"/>
        </w:rPr>
        <w:t>、省级</w:t>
      </w:r>
      <w:r>
        <w:rPr>
          <w:rFonts w:hint="eastAsia" w:ascii="仿宋_GB2312" w:hAnsi="仿宋_GB2312" w:eastAsia="仿宋_GB2312" w:cs="仿宋_GB2312"/>
          <w:sz w:val="32"/>
          <w:szCs w:val="32"/>
        </w:rPr>
        <w:t>帮扶资金支持范围外，还可以用于以下方面：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val="en-US" w:eastAsia="zh-CN"/>
        </w:rPr>
        <w:t>适当支持村内户外的巷道硬化、基本绿化、村内道路路灯、村容村貌微改造提升、片区垃圾处理设施建设等。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（二）支持农村公益性基础设施资产管理与日常维护等；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落实</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政府</w:t>
      </w:r>
      <w:r>
        <w:rPr>
          <w:rFonts w:hint="eastAsia" w:ascii="仿宋_GB2312" w:hAnsi="仿宋_GB2312" w:eastAsia="仿宋_GB2312" w:cs="仿宋_GB2312"/>
          <w:sz w:val="32"/>
          <w:szCs w:val="32"/>
          <w:lang w:eastAsia="zh-CN"/>
        </w:rPr>
        <w:t>安排的</w:t>
      </w:r>
      <w:r>
        <w:rPr>
          <w:rFonts w:hint="eastAsia" w:ascii="仿宋_GB2312" w:hAnsi="仿宋_GB2312" w:eastAsia="仿宋_GB2312" w:cs="仿宋_GB2312"/>
          <w:sz w:val="32"/>
          <w:szCs w:val="32"/>
        </w:rPr>
        <w:t>其他相关任务事项。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eastAsia="zh-CN"/>
        </w:rPr>
        <w:t>区级</w:t>
      </w:r>
      <w:r>
        <w:rPr>
          <w:rFonts w:hint="eastAsia" w:ascii="仿宋_GB2312" w:hAnsi="仿宋_GB2312" w:eastAsia="仿宋_GB2312" w:cs="仿宋_GB2312"/>
          <w:b w:val="0"/>
          <w:bCs w:val="0"/>
          <w:sz w:val="32"/>
          <w:szCs w:val="32"/>
        </w:rPr>
        <w:t>帮扶资金</w:t>
      </w:r>
      <w:r>
        <w:rPr>
          <w:rFonts w:hint="eastAsia" w:ascii="仿宋_GB2312" w:hAnsi="仿宋_GB2312" w:eastAsia="仿宋_GB2312" w:cs="仿宋_GB2312"/>
          <w:sz w:val="32"/>
          <w:szCs w:val="32"/>
        </w:rPr>
        <w:t>除</w:t>
      </w:r>
      <w:r>
        <w:rPr>
          <w:rFonts w:hint="eastAsia" w:ascii="仿宋_GB2312" w:hAnsi="仿宋_GB2312" w:eastAsia="仿宋_GB2312" w:cs="仿宋_GB2312"/>
          <w:sz w:val="32"/>
          <w:szCs w:val="32"/>
          <w:lang w:eastAsia="zh-CN"/>
        </w:rPr>
        <w:t>可用于</w:t>
      </w:r>
      <w:r>
        <w:rPr>
          <w:rFonts w:hint="eastAsia" w:ascii="仿宋_GB2312" w:hAnsi="仿宋_GB2312" w:eastAsia="仿宋_GB2312" w:cs="仿宋_GB2312"/>
          <w:sz w:val="32"/>
          <w:szCs w:val="32"/>
        </w:rPr>
        <w:t>第四</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、第六条</w:t>
      </w:r>
      <w:r>
        <w:rPr>
          <w:rFonts w:hint="eastAsia" w:ascii="仿宋_GB2312" w:hAnsi="仿宋_GB2312" w:eastAsia="仿宋_GB2312" w:cs="仿宋_GB2312"/>
          <w:sz w:val="32"/>
          <w:szCs w:val="32"/>
        </w:rPr>
        <w:t>中央</w:t>
      </w:r>
      <w:r>
        <w:rPr>
          <w:rFonts w:hint="eastAsia" w:ascii="仿宋_GB2312" w:hAnsi="仿宋_GB2312" w:eastAsia="仿宋_GB2312" w:cs="仿宋_GB2312"/>
          <w:sz w:val="32"/>
          <w:szCs w:val="32"/>
          <w:lang w:eastAsia="zh-CN"/>
        </w:rPr>
        <w:t>、省、市级</w:t>
      </w:r>
      <w:r>
        <w:rPr>
          <w:rFonts w:hint="eastAsia" w:ascii="仿宋_GB2312" w:hAnsi="仿宋_GB2312" w:eastAsia="仿宋_GB2312" w:cs="仿宋_GB2312"/>
          <w:sz w:val="32"/>
          <w:szCs w:val="32"/>
        </w:rPr>
        <w:t>帮扶资金支持范围外，还可以用于以下方面：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（一）</w:t>
      </w:r>
      <w:r>
        <w:rPr>
          <w:rFonts w:hint="eastAsia" w:ascii="仿宋" w:hAnsi="仿宋" w:eastAsia="仿宋"/>
          <w:color w:val="000000"/>
          <w:sz w:val="32"/>
          <w:szCs w:val="32"/>
          <w:u w:val="none"/>
        </w:rPr>
        <w:t>集中安置区聘用搬迁群众的</w:t>
      </w:r>
      <w:r>
        <w:rPr>
          <w:rFonts w:hint="eastAsia" w:ascii="仿宋_GB2312" w:hAnsi="仿宋_GB2312" w:eastAsia="仿宋_GB2312" w:cs="仿宋_GB2312"/>
          <w:sz w:val="32"/>
          <w:szCs w:val="32"/>
          <w:u w:val="none"/>
          <w:lang w:val="en-US" w:eastAsia="zh-CN"/>
        </w:rPr>
        <w:t>公益性基础设施资产管理人员的岗位补助支出；</w:t>
      </w:r>
    </w:p>
    <w:p>
      <w:pPr>
        <w:tabs>
          <w:tab w:val="left" w:pos="2160"/>
        </w:tabs>
        <w:snapToGrid w:val="0"/>
        <w:spacing w:line="588" w:lineRule="exact"/>
        <w:ind w:firstLine="640" w:firstLineChars="200"/>
        <w:rPr>
          <w:rFonts w:hint="eastAsia" w:ascii="仿宋" w:hAnsi="仿宋" w:eastAsia="仿宋"/>
          <w:sz w:val="32"/>
          <w:szCs w:val="32"/>
          <w:u w:val="none"/>
          <w:lang w:eastAsia="zh-CN"/>
        </w:rPr>
      </w:pPr>
      <w:r>
        <w:rPr>
          <w:rFonts w:hint="eastAsia" w:ascii="仿宋" w:hAnsi="仿宋" w:eastAsia="仿宋"/>
          <w:sz w:val="32"/>
          <w:szCs w:val="32"/>
          <w:u w:val="none"/>
        </w:rPr>
        <w:t>（</w:t>
      </w:r>
      <w:r>
        <w:rPr>
          <w:rFonts w:hint="eastAsia" w:ascii="仿宋" w:hAnsi="仿宋" w:eastAsia="仿宋"/>
          <w:sz w:val="32"/>
          <w:szCs w:val="32"/>
          <w:u w:val="none"/>
          <w:lang w:eastAsia="zh-CN"/>
        </w:rPr>
        <w:t>二</w:t>
      </w:r>
      <w:r>
        <w:rPr>
          <w:rFonts w:hint="eastAsia" w:ascii="仿宋" w:hAnsi="仿宋" w:eastAsia="仿宋"/>
          <w:sz w:val="32"/>
          <w:szCs w:val="32"/>
          <w:u w:val="none"/>
        </w:rPr>
        <w:t>）农村创业致富带头人</w:t>
      </w:r>
      <w:r>
        <w:rPr>
          <w:rFonts w:hint="eastAsia" w:ascii="仿宋" w:hAnsi="仿宋" w:eastAsia="仿宋"/>
          <w:sz w:val="32"/>
          <w:szCs w:val="32"/>
          <w:u w:val="none"/>
          <w:lang w:eastAsia="zh-CN"/>
        </w:rPr>
        <w:t>、</w:t>
      </w:r>
      <w:r>
        <w:rPr>
          <w:rFonts w:hint="eastAsia" w:ascii="仿宋" w:hAnsi="仿宋" w:eastAsia="仿宋"/>
          <w:sz w:val="32"/>
          <w:szCs w:val="32"/>
          <w:u w:val="none"/>
        </w:rPr>
        <w:t>实用技术</w:t>
      </w:r>
      <w:r>
        <w:rPr>
          <w:rFonts w:hint="eastAsia" w:ascii="仿宋" w:hAnsi="仿宋" w:eastAsia="仿宋"/>
          <w:sz w:val="32"/>
          <w:szCs w:val="32"/>
          <w:u w:val="none"/>
          <w:lang w:eastAsia="zh-CN"/>
        </w:rPr>
        <w:t>、</w:t>
      </w:r>
      <w:r>
        <w:rPr>
          <w:rFonts w:hint="eastAsia" w:ascii="仿宋_GB2312" w:hAnsi="仿宋_GB2312" w:eastAsia="仿宋_GB2312" w:cs="仿宋_GB2312"/>
          <w:sz w:val="32"/>
          <w:szCs w:val="32"/>
          <w:lang w:val="en-US" w:eastAsia="zh-CN"/>
        </w:rPr>
        <w:t>政策业务</w:t>
      </w:r>
      <w:r>
        <w:rPr>
          <w:rFonts w:hint="eastAsia" w:ascii="仿宋" w:hAnsi="仿宋" w:eastAsia="仿宋"/>
          <w:sz w:val="32"/>
          <w:szCs w:val="32"/>
          <w:u w:val="none"/>
        </w:rPr>
        <w:t>培训</w:t>
      </w:r>
      <w:r>
        <w:rPr>
          <w:rFonts w:hint="eastAsia" w:ascii="仿宋" w:hAnsi="仿宋" w:eastAsia="仿宋"/>
          <w:color w:val="000000"/>
          <w:sz w:val="32"/>
          <w:szCs w:val="32"/>
          <w:u w:val="none"/>
          <w:lang w:eastAsia="zh-CN"/>
        </w:rPr>
        <w:t>；</w:t>
      </w:r>
    </w:p>
    <w:p>
      <w:pPr>
        <w:tabs>
          <w:tab w:val="left" w:pos="2160"/>
        </w:tabs>
        <w:snapToGrid w:val="0"/>
        <w:spacing w:line="588" w:lineRule="exact"/>
        <w:rPr>
          <w:rFonts w:hint="eastAsia" w:ascii="仿宋" w:hAnsi="仿宋" w:eastAsia="仿宋"/>
          <w:sz w:val="32"/>
          <w:szCs w:val="32"/>
          <w:u w:val="none"/>
          <w:lang w:eastAsia="zh-CN"/>
        </w:rPr>
      </w:pPr>
      <w:r>
        <w:rPr>
          <w:rFonts w:hint="eastAsia" w:ascii="仿宋" w:hAnsi="仿宋" w:eastAsia="仿宋"/>
          <w:sz w:val="32"/>
          <w:szCs w:val="32"/>
          <w:u w:val="none"/>
        </w:rPr>
        <w:t xml:space="preserve">    （</w:t>
      </w:r>
      <w:r>
        <w:rPr>
          <w:rFonts w:hint="eastAsia" w:ascii="仿宋" w:hAnsi="仿宋" w:eastAsia="仿宋"/>
          <w:sz w:val="32"/>
          <w:szCs w:val="32"/>
          <w:u w:val="none"/>
          <w:lang w:eastAsia="zh-CN"/>
        </w:rPr>
        <w:t>三</w:t>
      </w:r>
      <w:r>
        <w:rPr>
          <w:rFonts w:hint="eastAsia" w:ascii="仿宋" w:hAnsi="仿宋" w:eastAsia="仿宋"/>
          <w:sz w:val="32"/>
          <w:szCs w:val="32"/>
          <w:u w:val="none"/>
        </w:rPr>
        <w:t>）与粮食安全有密切关联的农田</w:t>
      </w:r>
      <w:r>
        <w:rPr>
          <w:rFonts w:hint="eastAsia" w:ascii="仿宋" w:hAnsi="仿宋" w:eastAsia="仿宋"/>
          <w:sz w:val="32"/>
          <w:szCs w:val="32"/>
          <w:u w:val="none"/>
          <w:lang w:eastAsia="zh-CN"/>
        </w:rPr>
        <w:t>灌溉</w:t>
      </w:r>
      <w:r>
        <w:rPr>
          <w:rFonts w:hint="eastAsia" w:ascii="仿宋" w:hAnsi="仿宋" w:eastAsia="仿宋"/>
          <w:sz w:val="32"/>
          <w:szCs w:val="32"/>
          <w:u w:val="none"/>
        </w:rPr>
        <w:t>等</w:t>
      </w:r>
      <w:r>
        <w:rPr>
          <w:rFonts w:hint="eastAsia" w:ascii="仿宋" w:hAnsi="仿宋" w:eastAsia="仿宋"/>
          <w:sz w:val="32"/>
          <w:szCs w:val="32"/>
          <w:u w:val="none"/>
          <w:lang w:eastAsia="zh-CN"/>
        </w:rPr>
        <w:t>设施的维护；</w:t>
      </w:r>
    </w:p>
    <w:p>
      <w:pPr>
        <w:tabs>
          <w:tab w:val="left" w:pos="2160"/>
        </w:tabs>
        <w:snapToGrid w:val="0"/>
        <w:spacing w:line="588" w:lineRule="exact"/>
        <w:ind w:firstLine="640" w:firstLineChars="200"/>
        <w:rPr>
          <w:rFonts w:hint="eastAsia" w:ascii="仿宋" w:hAnsi="仿宋" w:eastAsia="仿宋"/>
          <w:sz w:val="32"/>
          <w:szCs w:val="32"/>
          <w:u w:val="none"/>
          <w:lang w:eastAsia="zh-CN"/>
        </w:rPr>
      </w:pPr>
      <w:r>
        <w:rPr>
          <w:rFonts w:hint="eastAsia" w:ascii="仿宋" w:hAnsi="仿宋" w:eastAsia="仿宋"/>
          <w:sz w:val="32"/>
          <w:szCs w:val="32"/>
          <w:u w:val="none"/>
        </w:rPr>
        <w:t>（</w:t>
      </w:r>
      <w:r>
        <w:rPr>
          <w:rFonts w:hint="eastAsia" w:ascii="仿宋" w:hAnsi="仿宋" w:eastAsia="仿宋"/>
          <w:sz w:val="32"/>
          <w:szCs w:val="32"/>
          <w:u w:val="none"/>
          <w:lang w:eastAsia="zh-CN"/>
        </w:rPr>
        <w:t>四</w:t>
      </w:r>
      <w:r>
        <w:rPr>
          <w:rFonts w:hint="eastAsia" w:ascii="仿宋" w:hAnsi="仿宋" w:eastAsia="仿宋"/>
          <w:sz w:val="32"/>
          <w:szCs w:val="32"/>
          <w:u w:val="none"/>
        </w:rPr>
        <w:t>）安全饮水巩固提升及水质监测等</w:t>
      </w:r>
      <w:r>
        <w:rPr>
          <w:rFonts w:hint="eastAsia" w:ascii="仿宋" w:hAnsi="仿宋" w:eastAsia="仿宋"/>
          <w:sz w:val="32"/>
          <w:szCs w:val="32"/>
          <w:u w:val="none"/>
          <w:lang w:eastAsia="zh-CN"/>
        </w:rPr>
        <w:t>；</w:t>
      </w:r>
    </w:p>
    <w:p>
      <w:pPr>
        <w:tabs>
          <w:tab w:val="left" w:pos="2160"/>
        </w:tabs>
        <w:snapToGrid w:val="0"/>
        <w:spacing w:line="588" w:lineRule="exact"/>
        <w:ind w:firstLine="640" w:firstLineChars="200"/>
        <w:rPr>
          <w:rFonts w:hint="eastAsia" w:ascii="仿宋" w:hAnsi="仿宋" w:eastAsia="仿宋"/>
          <w:sz w:val="32"/>
          <w:szCs w:val="32"/>
          <w:u w:val="none"/>
          <w:lang w:eastAsia="zh-CN"/>
        </w:rPr>
      </w:pPr>
      <w:r>
        <w:rPr>
          <w:rFonts w:hint="eastAsia" w:ascii="仿宋" w:hAnsi="仿宋" w:eastAsia="仿宋"/>
          <w:sz w:val="32"/>
          <w:szCs w:val="32"/>
          <w:u w:val="none"/>
          <w:lang w:eastAsia="zh-CN"/>
        </w:rPr>
        <w:t>（五）</w:t>
      </w:r>
      <w:r>
        <w:rPr>
          <w:rFonts w:hint="eastAsia" w:ascii="仿宋_GB2312" w:hAnsi="仿宋_GB2312" w:eastAsia="仿宋_GB2312" w:cs="仿宋_GB2312"/>
          <w:sz w:val="32"/>
          <w:szCs w:val="32"/>
          <w:u w:val="none"/>
          <w:lang w:val="en-US" w:eastAsia="zh-CN"/>
        </w:rPr>
        <w:t>农村公益性基础设施资产管理与日常维护等区级配套资金；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（六）</w:t>
      </w:r>
      <w:r>
        <w:rPr>
          <w:rFonts w:hint="eastAsia" w:ascii="仿宋_GB2312" w:hAnsi="仿宋_GB2312" w:eastAsia="仿宋_GB2312" w:cs="仿宋_GB2312"/>
          <w:sz w:val="32"/>
          <w:szCs w:val="32"/>
          <w:u w:val="none"/>
        </w:rPr>
        <w:t>落实</w:t>
      </w:r>
      <w:r>
        <w:rPr>
          <w:rFonts w:hint="eastAsia" w:ascii="仿宋_GB2312" w:hAnsi="仿宋_GB2312" w:eastAsia="仿宋_GB2312" w:cs="仿宋_GB2312"/>
          <w:sz w:val="32"/>
          <w:szCs w:val="32"/>
          <w:u w:val="none"/>
          <w:lang w:eastAsia="zh-CN"/>
        </w:rPr>
        <w:t>区委、区政府安排的</w:t>
      </w:r>
      <w:r>
        <w:rPr>
          <w:rFonts w:hint="eastAsia" w:ascii="仿宋_GB2312" w:hAnsi="仿宋_GB2312" w:eastAsia="仿宋_GB2312" w:cs="仿宋_GB2312"/>
          <w:sz w:val="32"/>
          <w:szCs w:val="32"/>
          <w:u w:val="none"/>
        </w:rPr>
        <w:t>其他相关任务事项。</w:t>
      </w:r>
    </w:p>
    <w:p>
      <w:pPr>
        <w:snapToGrid w:val="0"/>
        <w:spacing w:line="588" w:lineRule="exact"/>
        <w:ind w:firstLine="633" w:firstLineChars="197"/>
        <w:rPr>
          <w:rFonts w:hint="eastAsia" w:ascii="仿宋" w:hAnsi="仿宋" w:eastAsia="仿宋"/>
          <w:sz w:val="32"/>
          <w:szCs w:val="32"/>
        </w:rPr>
      </w:pPr>
      <w:r>
        <w:rPr>
          <w:rFonts w:hint="eastAsia" w:ascii="仿宋_GB2312" w:hAnsi="仿宋_GB2312" w:eastAsia="仿宋_GB2312" w:cs="仿宋_GB2312"/>
          <w:b/>
          <w:bCs/>
          <w:sz w:val="32"/>
          <w:szCs w:val="32"/>
          <w:u w:val="none"/>
          <w:lang w:eastAsia="zh-CN"/>
        </w:rPr>
        <w:t>第八条</w:t>
      </w:r>
      <w:r>
        <w:rPr>
          <w:rFonts w:hint="eastAsia" w:ascii="仿宋_GB2312" w:hAnsi="仿宋_GB2312" w:eastAsia="仿宋_GB2312" w:cs="仿宋_GB2312"/>
          <w:sz w:val="32"/>
          <w:szCs w:val="32"/>
          <w:u w:val="none"/>
          <w:lang w:val="en-US" w:eastAsia="zh-CN"/>
        </w:rPr>
        <w:t xml:space="preserve"> 按照从严从紧的原则，</w:t>
      </w:r>
      <w:r>
        <w:rPr>
          <w:rFonts w:hint="eastAsia" w:ascii="仿宋_GB2312" w:hAnsi="仿宋_GB2312" w:eastAsia="仿宋_GB2312" w:cs="仿宋_GB2312"/>
          <w:sz w:val="32"/>
          <w:szCs w:val="32"/>
          <w:lang w:eastAsia="zh-CN"/>
        </w:rPr>
        <w:t>可以</w:t>
      </w:r>
      <w:r>
        <w:rPr>
          <w:rFonts w:hint="eastAsia" w:ascii="仿宋_GB2312" w:hAnsi="仿宋_GB2312" w:eastAsia="仿宋_GB2312" w:cs="仿宋_GB2312"/>
          <w:sz w:val="32"/>
          <w:szCs w:val="32"/>
        </w:rPr>
        <w:t>从中央和省级到</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帮扶资金中分别按照不超过2%、5%的比例统筹安排</w:t>
      </w:r>
      <w:r>
        <w:rPr>
          <w:rFonts w:hint="eastAsia" w:ascii="仿宋_GB2312" w:hAnsi="仿宋_GB2312" w:eastAsia="仿宋_GB2312" w:cs="仿宋_GB2312"/>
          <w:sz w:val="32"/>
          <w:szCs w:val="32"/>
          <w:lang w:eastAsia="zh-CN"/>
        </w:rPr>
        <w:t>项目管理费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市级常态化帮扶资金不安排提取项目管理费。项目管理费</w:t>
      </w:r>
      <w:r>
        <w:rPr>
          <w:rFonts w:hint="eastAsia" w:ascii="仿宋" w:hAnsi="仿宋" w:eastAsia="仿宋"/>
          <w:sz w:val="32"/>
          <w:szCs w:val="32"/>
        </w:rPr>
        <w:t>不足部分由区级解决，</w:t>
      </w:r>
      <w:r>
        <w:rPr>
          <w:rFonts w:hint="eastAsia" w:ascii="仿宋" w:hAnsi="仿宋" w:eastAsia="仿宋"/>
          <w:sz w:val="32"/>
          <w:szCs w:val="32"/>
          <w:lang w:eastAsia="zh-CN"/>
        </w:rPr>
        <w:t>当年</w:t>
      </w:r>
      <w:r>
        <w:rPr>
          <w:rFonts w:hint="eastAsia" w:ascii="仿宋" w:hAnsi="仿宋" w:eastAsia="仿宋"/>
          <w:sz w:val="32"/>
          <w:szCs w:val="32"/>
        </w:rPr>
        <w:t>结余按照</w:t>
      </w:r>
      <w:r>
        <w:rPr>
          <w:rFonts w:hint="eastAsia" w:ascii="仿宋" w:hAnsi="仿宋" w:eastAsia="仿宋"/>
          <w:sz w:val="32"/>
          <w:szCs w:val="32"/>
          <w:lang w:eastAsia="zh-CN"/>
        </w:rPr>
        <w:t>帮扶</w:t>
      </w:r>
      <w:r>
        <w:rPr>
          <w:rFonts w:hint="eastAsia" w:ascii="仿宋" w:hAnsi="仿宋" w:eastAsia="仿宋"/>
          <w:sz w:val="32"/>
          <w:szCs w:val="32"/>
        </w:rPr>
        <w:t>资金使用范围，调剂安排用于项目支出。区级财政安排的项目管理费作为区级财政</w:t>
      </w:r>
      <w:r>
        <w:rPr>
          <w:rFonts w:hint="eastAsia" w:ascii="仿宋" w:hAnsi="仿宋" w:eastAsia="仿宋"/>
          <w:sz w:val="32"/>
          <w:szCs w:val="32"/>
          <w:lang w:eastAsia="zh-CN"/>
        </w:rPr>
        <w:t>常态化帮扶</w:t>
      </w:r>
      <w:r>
        <w:rPr>
          <w:rFonts w:hint="eastAsia" w:ascii="仿宋" w:hAnsi="仿宋" w:eastAsia="仿宋"/>
          <w:sz w:val="32"/>
          <w:szCs w:val="32"/>
        </w:rPr>
        <w:t>资金投入。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项目管理费主要用于项目前期设计、评审、招标、监理、验收、</w:t>
      </w:r>
      <w:r>
        <w:rPr>
          <w:rFonts w:hint="eastAsia" w:ascii="仿宋_GB2312" w:hAnsi="仿宋_GB2312" w:eastAsia="仿宋_GB2312" w:cs="仿宋_GB2312"/>
          <w:sz w:val="32"/>
          <w:szCs w:val="32"/>
          <w:lang w:eastAsia="zh-CN"/>
        </w:rPr>
        <w:t>公益性帮扶资产</w:t>
      </w:r>
      <w:r>
        <w:rPr>
          <w:rFonts w:hint="eastAsia" w:ascii="仿宋_GB2312" w:hAnsi="仿宋_GB2312" w:eastAsia="仿宋_GB2312" w:cs="仿宋_GB2312"/>
          <w:sz w:val="32"/>
          <w:szCs w:val="32"/>
        </w:rPr>
        <w:t>后续管护维护等与项目管理直接相关的支出。</w:t>
      </w:r>
      <w:r>
        <w:rPr>
          <w:rFonts w:hint="eastAsia" w:ascii="仿宋" w:hAnsi="仿宋" w:eastAsia="仿宋"/>
          <w:sz w:val="32"/>
          <w:szCs w:val="32"/>
          <w:lang w:eastAsia="zh-CN"/>
        </w:rPr>
        <w:t>区级</w:t>
      </w:r>
      <w:r>
        <w:rPr>
          <w:rFonts w:hint="eastAsia" w:ascii="仿宋" w:hAnsi="仿宋" w:eastAsia="仿宋"/>
          <w:sz w:val="32"/>
          <w:szCs w:val="32"/>
        </w:rPr>
        <w:t>项目管理费还可用于项目可行性研究、检查验收、绩效管理、公告公示、成果宣传、报账管理、档案管理、购买第三方服务、业务培训等项目管理相关支出。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对过渡期通过中央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省级</w:t>
      </w:r>
      <w:r>
        <w:rPr>
          <w:rFonts w:hint="eastAsia" w:ascii="仿宋_GB2312" w:hAnsi="仿宋_GB2312" w:eastAsia="仿宋_GB2312" w:cs="仿宋_GB2312"/>
          <w:sz w:val="32"/>
          <w:szCs w:val="32"/>
          <w:lang w:eastAsia="zh-CN"/>
        </w:rPr>
        <w:t>和市级</w:t>
      </w:r>
      <w:r>
        <w:rPr>
          <w:rFonts w:hint="eastAsia" w:ascii="仿宋_GB2312" w:hAnsi="仿宋_GB2312" w:eastAsia="仿宋_GB2312" w:cs="仿宋_GB2312"/>
          <w:sz w:val="32"/>
          <w:szCs w:val="32"/>
        </w:rPr>
        <w:t>财政衔接推进乡村振兴补助资金支持的、截至过渡期结束仍未实施完毕的项目或政策，可继续通过帮扶资金予以支持，确保项目顺利实施、政策有序转换和退出。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帮扶资金不得用于支持产业帮扶、就业帮扶和欠发达地区开发式帮扶等本办法规定之外的支出，包括：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（一）弥补预算支出缺口；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（二）偿还债务和垫资（偿还“十三五”易地扶贫搬迁债务按有关规定执行）；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（三）单位基本支出；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（四）各种奖金津贴和福利补助；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（五）交通工具及通讯设备支出；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（六）修建楼堂馆所，建设景观工程、形象工程支出；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（七）中介费用（除本办法规定的项目管理费外）；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（八）设立各类基金、购买各类保险；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（九）城市基础设施建设；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（十）其他与常态化帮扶工作无关的支出。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帮扶资金要避免与其他渠道安排的中央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省级和</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财政资金重复。帮扶资金不能用于社会救助、公共卫生、养老保险、教育、文化等农村基本公共服务领域。重点帮扶群体的识别监测预警工作经费通过</w:t>
      </w:r>
      <w:r>
        <w:rPr>
          <w:rFonts w:hint="eastAsia" w:ascii="仿宋_GB2312" w:hAnsi="仿宋_GB2312" w:eastAsia="仿宋_GB2312" w:cs="仿宋_GB2312"/>
          <w:sz w:val="32"/>
          <w:szCs w:val="32"/>
          <w:lang w:eastAsia="zh-CN"/>
        </w:rPr>
        <w:t>原有</w:t>
      </w:r>
      <w:r>
        <w:rPr>
          <w:rFonts w:hint="eastAsia" w:ascii="仿宋_GB2312" w:hAnsi="仿宋_GB2312" w:eastAsia="仿宋_GB2312" w:cs="仿宋_GB2312"/>
          <w:sz w:val="32"/>
          <w:szCs w:val="32"/>
        </w:rPr>
        <w:t>预算安排。不得安排帮扶资金承担明确由</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履行的支出责任。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第三章 资金分配和管理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中央</w:t>
      </w:r>
      <w:r>
        <w:rPr>
          <w:rFonts w:hint="eastAsia" w:ascii="仿宋_GB2312" w:hAnsi="仿宋_GB2312" w:eastAsia="仿宋_GB2312" w:cs="仿宋_GB2312"/>
          <w:sz w:val="32"/>
          <w:szCs w:val="32"/>
          <w:lang w:eastAsia="zh-CN"/>
        </w:rPr>
        <w:t>、省级</w:t>
      </w:r>
      <w:r>
        <w:rPr>
          <w:rFonts w:hint="eastAsia" w:ascii="仿宋_GB2312" w:hAnsi="仿宋_GB2312" w:eastAsia="仿宋_GB2312" w:cs="仿宋_GB2312"/>
          <w:sz w:val="32"/>
          <w:szCs w:val="32"/>
        </w:rPr>
        <w:t>帮扶资金</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采取因素法分配，测算因素包括：基础性因素、政策性因素、绩效因素，并统筹考虑保障县</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财政运行稳定性、常态化帮扶工作需要等情况进行适当调节。</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级帮扶资金对于</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政府有明确工作要求的常态化帮扶特定事项、特定区域等，可适时采取项目法、定额法等方式分配。</w:t>
      </w:r>
      <w:r>
        <w:rPr>
          <w:rFonts w:hint="eastAsia" w:ascii="仿宋_GB2312" w:hAnsi="仿宋_GB2312" w:eastAsia="仿宋_GB2312" w:cs="仿宋_GB2312"/>
          <w:sz w:val="32"/>
          <w:szCs w:val="32"/>
          <w:u w:val="none"/>
          <w:lang w:eastAsia="zh-CN"/>
        </w:rPr>
        <w:t>区级帮扶资金根据区委、区政府的安排部署及规划，主要采取项目法、定额法分配。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帮扶资金由财政部门联合农业农村、发展改革、民族宗教、林业部门（以下简称行业主管部门）共同管理。其中：开发式帮扶</w:t>
      </w:r>
      <w:r>
        <w:rPr>
          <w:rFonts w:hint="eastAsia" w:ascii="仿宋_GB2312" w:hAnsi="仿宋_GB2312" w:eastAsia="仿宋_GB2312" w:cs="仿宋_GB2312"/>
          <w:sz w:val="32"/>
          <w:szCs w:val="32"/>
          <w:lang w:eastAsia="zh-CN"/>
        </w:rPr>
        <w:t>任务资金</w:t>
      </w:r>
      <w:r>
        <w:rPr>
          <w:rFonts w:hint="eastAsia" w:ascii="仿宋_GB2312" w:hAnsi="仿宋_GB2312" w:eastAsia="仿宋_GB2312" w:cs="仿宋_GB2312"/>
          <w:sz w:val="32"/>
          <w:szCs w:val="32"/>
        </w:rPr>
        <w:t>由财政部门、农业农村部门共同管理；以工代赈任务资金由财政部门、发展改革部门共同管理；少数民族发展任务资金由财政部门、民族宗教部门共同管理；欠发达国有林场巩固提升任务资金由财政部门、林业部门共同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财政部门负责年度预算安排，审核同级行业主管部门提出的资金分配建议方案并下达预算，指导同级行业主管部门加强资金监管和绩效管理等。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行业主管部门负责提出资金分配建议方案，提供资金测算所需行业基础数据，并对有关数据的真实性、准确性和及时性负责。</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开展资金项目和形成资产具体使用监管，组织实施绩效管理等工作，按照权责对等原则落实监管责任。</w:t>
      </w:r>
    </w:p>
    <w:p>
      <w:pPr>
        <w:numPr>
          <w:ilvl w:val="0"/>
          <w:numId w:val="1"/>
        </w:numPr>
        <w:spacing w:line="588" w:lineRule="exact"/>
        <w:ind w:firstLine="630" w:firstLineChars="197"/>
        <w:rPr>
          <w:rFonts w:hint="eastAsia" w:ascii="仿宋" w:hAnsi="仿宋" w:eastAsia="仿宋"/>
          <w:color w:val="000000"/>
          <w:sz w:val="32"/>
          <w:szCs w:val="32"/>
          <w:u w:val="none"/>
        </w:rPr>
      </w:pPr>
      <w:r>
        <w:rPr>
          <w:rFonts w:hint="eastAsia" w:ascii="仿宋_GB2312" w:hAnsi="仿宋_GB2312" w:eastAsia="仿宋_GB2312" w:cs="仿宋_GB2312"/>
          <w:sz w:val="32"/>
          <w:szCs w:val="32"/>
          <w:u w:val="none"/>
          <w:lang w:eastAsia="zh-CN"/>
        </w:rPr>
        <w:t>区财政部门</w:t>
      </w:r>
      <w:r>
        <w:rPr>
          <w:rFonts w:hint="eastAsia" w:ascii="仿宋_GB2312" w:hAnsi="仿宋_GB2312" w:eastAsia="仿宋_GB2312" w:cs="仿宋_GB2312"/>
          <w:sz w:val="32"/>
          <w:szCs w:val="32"/>
          <w:u w:val="none"/>
        </w:rPr>
        <w:t>收到</w:t>
      </w:r>
      <w:r>
        <w:rPr>
          <w:rFonts w:hint="eastAsia" w:ascii="仿宋_GB2312" w:hAnsi="仿宋_GB2312" w:eastAsia="仿宋_GB2312" w:cs="仿宋_GB2312"/>
          <w:sz w:val="32"/>
          <w:szCs w:val="32"/>
          <w:u w:val="none"/>
          <w:lang w:eastAsia="zh-CN"/>
        </w:rPr>
        <w:t>市级</w:t>
      </w:r>
      <w:r>
        <w:rPr>
          <w:rFonts w:hint="eastAsia" w:ascii="仿宋_GB2312" w:hAnsi="仿宋_GB2312" w:eastAsia="仿宋_GB2312" w:cs="仿宋_GB2312"/>
          <w:sz w:val="32"/>
          <w:szCs w:val="32"/>
          <w:u w:val="none"/>
        </w:rPr>
        <w:t>财政部门</w:t>
      </w:r>
      <w:r>
        <w:rPr>
          <w:rFonts w:hint="eastAsia" w:ascii="仿宋_GB2312" w:hAnsi="仿宋_GB2312" w:eastAsia="仿宋_GB2312" w:cs="仿宋_GB2312"/>
          <w:sz w:val="32"/>
          <w:szCs w:val="32"/>
          <w:u w:val="none"/>
          <w:lang w:eastAsia="zh-CN"/>
        </w:rPr>
        <w:t>下达</w:t>
      </w:r>
      <w:r>
        <w:rPr>
          <w:rFonts w:hint="eastAsia" w:ascii="仿宋_GB2312" w:hAnsi="仿宋_GB2312" w:eastAsia="仿宋_GB2312" w:cs="仿宋_GB2312"/>
          <w:sz w:val="32"/>
          <w:szCs w:val="32"/>
          <w:u w:val="none"/>
        </w:rPr>
        <w:t>帮扶资金预算后，</w:t>
      </w:r>
      <w:r>
        <w:rPr>
          <w:rFonts w:hint="eastAsia" w:ascii="仿宋_GB2312" w:hAnsi="仿宋_GB2312" w:eastAsia="仿宋_GB2312" w:cs="仿宋_GB2312"/>
          <w:sz w:val="32"/>
          <w:szCs w:val="32"/>
          <w:u w:val="none"/>
          <w:lang w:eastAsia="zh-CN"/>
        </w:rPr>
        <w:t>及时通知相关行业主管部门，督促下达项目资金计划，</w:t>
      </w:r>
      <w:r>
        <w:rPr>
          <w:rFonts w:hint="eastAsia" w:ascii="仿宋" w:hAnsi="仿宋" w:eastAsia="仿宋"/>
          <w:sz w:val="32"/>
          <w:szCs w:val="32"/>
          <w:u w:val="none"/>
          <w:lang w:eastAsia="zh-CN"/>
        </w:rPr>
        <w:t>项目计划下达后</w:t>
      </w:r>
      <w:r>
        <w:rPr>
          <w:rFonts w:hint="eastAsia" w:ascii="仿宋_GB2312" w:hAnsi="仿宋_GB2312" w:eastAsia="仿宋_GB2312" w:cs="仿宋_GB2312"/>
          <w:sz w:val="32"/>
          <w:szCs w:val="32"/>
          <w:u w:val="none"/>
          <w:lang w:val="en-US" w:eastAsia="zh-CN"/>
        </w:rPr>
        <w:t>30日内</w:t>
      </w:r>
      <w:r>
        <w:rPr>
          <w:rFonts w:hint="eastAsia" w:ascii="仿宋_GB2312" w:hAnsi="仿宋_GB2312" w:eastAsia="仿宋_GB2312" w:cs="仿宋_GB2312"/>
          <w:sz w:val="32"/>
          <w:szCs w:val="32"/>
          <w:u w:val="none"/>
        </w:rPr>
        <w:t>将资金</w:t>
      </w:r>
      <w:r>
        <w:rPr>
          <w:rFonts w:hint="eastAsia" w:ascii="仿宋_GB2312" w:hAnsi="仿宋_GB2312" w:eastAsia="仿宋_GB2312" w:cs="仿宋_GB2312"/>
          <w:sz w:val="32"/>
          <w:szCs w:val="32"/>
          <w:u w:val="none"/>
          <w:lang w:eastAsia="zh-CN"/>
        </w:rPr>
        <w:t>分配</w:t>
      </w:r>
      <w:r>
        <w:rPr>
          <w:rFonts w:hint="eastAsia" w:ascii="仿宋_GB2312" w:hAnsi="仿宋_GB2312" w:eastAsia="仿宋_GB2312" w:cs="仿宋_GB2312"/>
          <w:sz w:val="32"/>
          <w:szCs w:val="32"/>
          <w:u w:val="none"/>
        </w:rPr>
        <w:t>到项目</w:t>
      </w:r>
      <w:r>
        <w:rPr>
          <w:rFonts w:hint="eastAsia" w:ascii="仿宋_GB2312" w:hAnsi="仿宋_GB2312" w:eastAsia="仿宋_GB2312" w:cs="仿宋_GB2312"/>
          <w:sz w:val="32"/>
          <w:szCs w:val="32"/>
          <w:u w:val="none"/>
          <w:lang w:eastAsia="zh-CN"/>
        </w:rPr>
        <w:t>预算</w:t>
      </w:r>
      <w:r>
        <w:rPr>
          <w:rFonts w:hint="eastAsia" w:ascii="仿宋_GB2312" w:hAnsi="仿宋_GB2312" w:eastAsia="仿宋_GB2312" w:cs="仿宋_GB2312"/>
          <w:sz w:val="32"/>
          <w:szCs w:val="32"/>
          <w:u w:val="none"/>
        </w:rPr>
        <w:t>单位。</w:t>
      </w:r>
      <w:r>
        <w:rPr>
          <w:rFonts w:hint="eastAsia" w:ascii="仿宋" w:hAnsi="仿宋" w:eastAsia="仿宋"/>
          <w:color w:val="000000"/>
          <w:sz w:val="32"/>
          <w:szCs w:val="32"/>
          <w:u w:val="none"/>
        </w:rPr>
        <w:t>区</w:t>
      </w:r>
      <w:r>
        <w:rPr>
          <w:rFonts w:hint="eastAsia" w:ascii="仿宋" w:hAnsi="仿宋" w:eastAsia="仿宋"/>
          <w:color w:val="000000"/>
          <w:sz w:val="32"/>
          <w:szCs w:val="32"/>
          <w:u w:val="none"/>
          <w:lang w:eastAsia="zh-CN"/>
        </w:rPr>
        <w:t>级</w:t>
      </w:r>
      <w:r>
        <w:rPr>
          <w:rFonts w:hint="eastAsia" w:ascii="仿宋" w:hAnsi="仿宋" w:eastAsia="仿宋"/>
          <w:color w:val="000000"/>
          <w:sz w:val="32"/>
          <w:szCs w:val="32"/>
          <w:u w:val="none"/>
        </w:rPr>
        <w:t>预算安排</w:t>
      </w:r>
      <w:r>
        <w:rPr>
          <w:rFonts w:hint="eastAsia" w:ascii="仿宋" w:hAnsi="仿宋" w:eastAsia="仿宋"/>
          <w:color w:val="000000"/>
          <w:sz w:val="32"/>
          <w:szCs w:val="32"/>
          <w:u w:val="none"/>
          <w:lang w:eastAsia="zh-CN"/>
        </w:rPr>
        <w:t>帮扶</w:t>
      </w:r>
      <w:r>
        <w:rPr>
          <w:rFonts w:hint="eastAsia" w:ascii="仿宋" w:hAnsi="仿宋" w:eastAsia="仿宋"/>
          <w:color w:val="000000"/>
          <w:sz w:val="32"/>
          <w:szCs w:val="32"/>
          <w:u w:val="none"/>
        </w:rPr>
        <w:t>资金，区财政局收到区人代会批准预算后60日内，根据预算管理要求、年度预算安排和行业主管部门编制下达的资金项目计划，将区级</w:t>
      </w:r>
      <w:r>
        <w:rPr>
          <w:rFonts w:hint="eastAsia" w:ascii="仿宋" w:hAnsi="仿宋" w:eastAsia="仿宋"/>
          <w:color w:val="000000"/>
          <w:sz w:val="32"/>
          <w:szCs w:val="32"/>
          <w:u w:val="none"/>
          <w:lang w:eastAsia="zh-CN"/>
        </w:rPr>
        <w:t>帮扶</w:t>
      </w:r>
      <w:r>
        <w:rPr>
          <w:rFonts w:hint="eastAsia" w:ascii="仿宋" w:hAnsi="仿宋" w:eastAsia="仿宋"/>
          <w:color w:val="000000"/>
          <w:sz w:val="32"/>
          <w:szCs w:val="32"/>
          <w:u w:val="none"/>
        </w:rPr>
        <w:t>资金预算下达相关单位。</w:t>
      </w:r>
      <w:r>
        <w:rPr>
          <w:rFonts w:hint="eastAsia" w:ascii="仿宋" w:hAnsi="仿宋" w:eastAsia="仿宋"/>
          <w:color w:val="000000"/>
          <w:sz w:val="32"/>
          <w:szCs w:val="32"/>
          <w:u w:val="none"/>
          <w:lang w:eastAsia="zh-CN"/>
        </w:rPr>
        <w:t>区级各相关部门对帮扶资金管理承担主体责任，具体负责帮扶资金使用、项目规划布局、项目谋划、储备、计划下达、监督检查、绩效评价和验收等管理工作。</w:t>
      </w:r>
    </w:p>
    <w:p>
      <w:pPr>
        <w:numPr>
          <w:ilvl w:val="0"/>
          <w:numId w:val="0"/>
        </w:numPr>
        <w:spacing w:line="588" w:lineRule="exact"/>
        <w:ind w:firstLine="643" w:firstLineChars="200"/>
        <w:rPr>
          <w:rFonts w:hint="eastAsia" w:ascii="仿宋" w:hAnsi="仿宋" w:eastAsia="仿宋"/>
          <w:color w:val="000000"/>
          <w:sz w:val="32"/>
          <w:szCs w:val="32"/>
          <w:u w:val="none"/>
        </w:rPr>
      </w:pPr>
      <w:r>
        <w:rPr>
          <w:rFonts w:hint="eastAsia" w:ascii="仿宋" w:hAnsi="仿宋" w:eastAsia="仿宋"/>
          <w:b/>
          <w:bCs/>
          <w:color w:val="000000"/>
          <w:sz w:val="32"/>
          <w:szCs w:val="32"/>
          <w:u w:val="none"/>
          <w:lang w:eastAsia="zh-CN"/>
        </w:rPr>
        <w:t>第十五条</w:t>
      </w:r>
      <w:r>
        <w:rPr>
          <w:rFonts w:hint="eastAsia" w:ascii="仿宋" w:hAnsi="仿宋" w:eastAsia="仿宋"/>
          <w:color w:val="000000"/>
          <w:sz w:val="32"/>
          <w:szCs w:val="32"/>
          <w:u w:val="none"/>
          <w:lang w:val="en-US" w:eastAsia="zh-CN"/>
        </w:rPr>
        <w:t xml:space="preserve"> </w:t>
      </w:r>
      <w:r>
        <w:rPr>
          <w:rFonts w:hint="eastAsia" w:ascii="仿宋" w:hAnsi="仿宋" w:eastAsia="仿宋"/>
          <w:color w:val="000000"/>
          <w:sz w:val="32"/>
          <w:szCs w:val="32"/>
          <w:u w:val="none"/>
          <w:lang w:eastAsia="zh-CN"/>
        </w:rPr>
        <w:t>区行业主管部门会同财政部门分配帮扶资金时，要综合考虑本地区任务需要，向重点帮扶村倾斜，同时兼顾其他，推动地区均衡发展。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各行业主管部门和财政部门应当加快帮扶资金预算执行，按照项目实施进展及时拨付资金，提高资金使用效益。</w:t>
      </w:r>
      <w:r>
        <w:rPr>
          <w:rFonts w:hint="eastAsia" w:ascii="仿宋_GB2312" w:hAnsi="仿宋_GB2312" w:eastAsia="仿宋_GB2312" w:cs="仿宋_GB2312"/>
          <w:sz w:val="32"/>
          <w:szCs w:val="32"/>
        </w:rPr>
        <w:t>帮扶资金支出涉及政府采购的，按照政府采购法律制度规定执行。资金支付执行国库集中支付制度有关规定</w:t>
      </w:r>
      <w:r>
        <w:rPr>
          <w:rFonts w:hint="eastAsia" w:ascii="仿宋_GB2312" w:hAnsi="仿宋_GB2312" w:eastAsia="仿宋_GB2312" w:cs="仿宋_GB2312"/>
          <w:sz w:val="32"/>
          <w:szCs w:val="32"/>
          <w:lang w:eastAsia="zh-CN"/>
        </w:rPr>
        <w:t>，应将资金支付到最终收款人，严禁“以拨代支”和“虚列支出”</w:t>
      </w:r>
      <w:r>
        <w:rPr>
          <w:rFonts w:hint="eastAsia" w:ascii="仿宋_GB2312" w:hAnsi="仿宋_GB2312" w:eastAsia="仿宋_GB2312" w:cs="仿宋_GB2312"/>
          <w:sz w:val="32"/>
          <w:szCs w:val="32"/>
        </w:rPr>
        <w:t>。结转结余资金按照《中华人民共和国预算法》和其他相关规定执行</w:t>
      </w:r>
      <w:r>
        <w:rPr>
          <w:rFonts w:hint="eastAsia" w:ascii="仿宋_GB2312" w:hAnsi="仿宋_GB2312" w:eastAsia="仿宋_GB2312" w:cs="仿宋_GB2312"/>
          <w:sz w:val="32"/>
          <w:szCs w:val="32"/>
          <w:lang w:eastAsia="zh-CN"/>
        </w:rPr>
        <w:t>，帮扶资金结余，按照本办法的资金用途继续安排使用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应当按照预算绩效管理有关规定加强帮扶资金绩效管理，建立健全全过程绩效管理机制，将绩效评价结果作为完善政策和资金分配的重要依据。行业主管部门对所管理的相应任务方向帮扶资金分别承担绩效管理主体责任。财政部门加强对行业主管部门落实绩效管理责任的监督指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财政部门关于帮扶资金分配结果等有关信息应当按照预算公开有关要求</w:t>
      </w:r>
      <w:r>
        <w:rPr>
          <w:rFonts w:hint="eastAsia" w:ascii="仿宋_GB2312" w:hAnsi="仿宋_GB2312" w:eastAsia="仿宋_GB2312" w:cs="仿宋_GB2312"/>
          <w:sz w:val="32"/>
          <w:szCs w:val="32"/>
          <w:lang w:eastAsia="zh-CN"/>
        </w:rPr>
        <w:t>及时予以公开</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2570" w:firstLineChars="800"/>
        <w:jc w:val="both"/>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第四章 项目管理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农业农村部门要</w:t>
      </w:r>
      <w:r>
        <w:rPr>
          <w:rFonts w:hint="eastAsia" w:ascii="仿宋_GB2312" w:hAnsi="仿宋_GB2312" w:eastAsia="仿宋_GB2312" w:cs="仿宋_GB2312"/>
          <w:sz w:val="32"/>
          <w:szCs w:val="32"/>
        </w:rPr>
        <w:t>建立并逐步完善帮扶资金项目库，提前做好项目储备，当年年底前完成下年度项目申报、评审和入库。帮扶资金支持的项目应从项目库中选择</w:t>
      </w:r>
      <w:r>
        <w:rPr>
          <w:rFonts w:hint="eastAsia" w:ascii="仿宋_GB2312" w:hAnsi="仿宋_GB2312" w:eastAsia="仿宋_GB2312" w:cs="仿宋_GB2312"/>
          <w:sz w:val="32"/>
          <w:szCs w:val="32"/>
          <w:lang w:eastAsia="zh-CN"/>
        </w:rPr>
        <w:t>，且符合本办法用途规定</w:t>
      </w:r>
      <w:r>
        <w:rPr>
          <w:rFonts w:hint="eastAsia" w:ascii="仿宋_GB2312" w:hAnsi="仿宋_GB2312" w:eastAsia="仿宋_GB2312" w:cs="仿宋_GB2312"/>
          <w:sz w:val="32"/>
          <w:szCs w:val="32"/>
        </w:rPr>
        <w:t>。入库项目实施动态管理，有进有出，3年内未执行的项目自动出库，再次入库按照新项目办理。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各行业主管部门严格按程序组织项目申报、评审和报批。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根据项目规模、实施主体、覆盖区域等因素，由村（欠发达国有林场）、镇</w:t>
      </w:r>
      <w:r>
        <w:rPr>
          <w:rFonts w:hint="eastAsia" w:ascii="仿宋_GB2312" w:hAnsi="仿宋_GB2312" w:eastAsia="仿宋_GB2312" w:cs="仿宋_GB2312"/>
          <w:sz w:val="32"/>
          <w:szCs w:val="32"/>
          <w:lang w:eastAsia="zh-CN"/>
        </w:rPr>
        <w:t>街</w:t>
      </w:r>
      <w:r>
        <w:rPr>
          <w:rFonts w:hint="eastAsia" w:ascii="仿宋_GB2312" w:hAnsi="仿宋_GB2312" w:eastAsia="仿宋_GB2312" w:cs="仿宋_GB2312"/>
          <w:sz w:val="32"/>
          <w:szCs w:val="32"/>
        </w:rPr>
        <w:t>或者</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级部门等提出项目入库申请。项目单位提交入库申请时，应完成</w:t>
      </w:r>
      <w:r>
        <w:rPr>
          <w:rFonts w:hint="eastAsia" w:ascii="仿宋_GB2312" w:hAnsi="仿宋_GB2312" w:eastAsia="仿宋_GB2312" w:cs="仿宋_GB2312"/>
          <w:sz w:val="32"/>
          <w:szCs w:val="32"/>
          <w:lang w:eastAsia="zh-CN"/>
        </w:rPr>
        <w:t>征求群众意见、土地要素保障、环境影响评价、可行性研究等</w:t>
      </w:r>
      <w:r>
        <w:rPr>
          <w:rFonts w:hint="eastAsia" w:ascii="仿宋_GB2312" w:hAnsi="仿宋_GB2312" w:eastAsia="仿宋_GB2312" w:cs="仿宋_GB2312"/>
          <w:sz w:val="32"/>
          <w:szCs w:val="32"/>
        </w:rPr>
        <w:t>必要的前期工作，明确建设内容、投资概算及帮扶资金申请额度、预期绩效目标、利益联结机制、实施期限等。</w:t>
      </w:r>
      <w:r>
        <w:rPr>
          <w:rFonts w:hint="eastAsia" w:ascii="仿宋_GB2312" w:hAnsi="仿宋_GB2312" w:eastAsia="仿宋_GB2312" w:cs="仿宋_GB2312"/>
          <w:sz w:val="32"/>
          <w:szCs w:val="32"/>
          <w:lang w:eastAsia="zh-CN"/>
        </w:rPr>
        <w:t>产业发展类项目入库时要明确运营方案和风险防控机制；基础设施类项目入库时要明确管护机制和管护经费来源。跨年度实施的项目，要在实施方案中明确各年度建设内容及资金投入金额。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各行业主管部门严格对照入库要求，</w:t>
      </w:r>
      <w:r>
        <w:rPr>
          <w:rFonts w:hint="eastAsia" w:ascii="仿宋_GB2312" w:hAnsi="仿宋_GB2312" w:eastAsia="仿宋_GB2312" w:cs="仿宋_GB2312"/>
          <w:sz w:val="32"/>
          <w:szCs w:val="32"/>
          <w:lang w:eastAsia="zh-CN"/>
        </w:rPr>
        <w:t>对项目建设必要性、可行性、预期效益、带动群众增收能力等组织开展评审论证，</w:t>
      </w:r>
      <w:r>
        <w:rPr>
          <w:rFonts w:hint="eastAsia" w:ascii="仿宋_GB2312" w:hAnsi="仿宋_GB2312" w:eastAsia="仿宋_GB2312" w:cs="仿宋_GB2312"/>
          <w:sz w:val="32"/>
          <w:szCs w:val="32"/>
        </w:rPr>
        <w:t>确保入库项目质量。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经各行业主管部门</w:t>
      </w:r>
      <w:r>
        <w:rPr>
          <w:rFonts w:hint="eastAsia" w:ascii="仿宋_GB2312" w:hAnsi="仿宋_GB2312" w:eastAsia="仿宋_GB2312" w:cs="仿宋_GB2312"/>
          <w:sz w:val="32"/>
          <w:szCs w:val="32"/>
          <w:lang w:eastAsia="zh-CN"/>
        </w:rPr>
        <w:t>评审论证</w:t>
      </w:r>
      <w:r>
        <w:rPr>
          <w:rFonts w:hint="eastAsia" w:ascii="仿宋_GB2312" w:hAnsi="仿宋_GB2312" w:eastAsia="仿宋_GB2312" w:cs="仿宋_GB2312"/>
          <w:sz w:val="32"/>
          <w:szCs w:val="32"/>
        </w:rPr>
        <w:t>通过的拟入库项目，由</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级农业农村部门统一汇总报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委农村工作领导小组审批。依托企业等生产经营主体运营的单个项目或同一主体当年累计帮扶资金投资规模达到300万元（含）以上的，项目主管部门要组织开展尽职调查。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对帮扶资金单体投资或累计投资额度</w:t>
      </w:r>
      <w:r>
        <w:rPr>
          <w:rFonts w:hint="eastAsia" w:ascii="仿宋_GB2312" w:hAnsi="仿宋_GB2312" w:eastAsia="仿宋_GB2312" w:cs="仿宋_GB2312"/>
          <w:sz w:val="32"/>
          <w:szCs w:val="32"/>
          <w:lang w:eastAsia="zh-CN"/>
        </w:rPr>
        <w:t>达到一定规模的区级入库项目，</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eastAsia="zh-CN"/>
        </w:rPr>
        <w:t>省、市</w:t>
      </w:r>
      <w:r>
        <w:rPr>
          <w:rFonts w:hint="eastAsia" w:ascii="仿宋_GB2312" w:hAnsi="仿宋_GB2312" w:eastAsia="仿宋_GB2312" w:cs="仿宋_GB2312"/>
          <w:sz w:val="32"/>
          <w:szCs w:val="32"/>
        </w:rPr>
        <w:t>行业主管部门组织开展</w:t>
      </w:r>
      <w:r>
        <w:rPr>
          <w:rFonts w:hint="eastAsia" w:ascii="仿宋_GB2312" w:hAnsi="仿宋_GB2312" w:eastAsia="仿宋_GB2312" w:cs="仿宋_GB2312"/>
          <w:sz w:val="32"/>
          <w:szCs w:val="32"/>
          <w:lang w:eastAsia="zh-CN"/>
        </w:rPr>
        <w:t>提级</w:t>
      </w:r>
      <w:r>
        <w:rPr>
          <w:rFonts w:hint="eastAsia" w:ascii="仿宋_GB2312" w:hAnsi="仿宋_GB2312" w:eastAsia="仿宋_GB2312" w:cs="仿宋_GB2312"/>
          <w:sz w:val="32"/>
          <w:szCs w:val="32"/>
        </w:rPr>
        <w:t>综合论证。</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sz w:val="32"/>
          <w:szCs w:val="32"/>
        </w:rPr>
        <w:t>500万元（含）至1000万元</w:t>
      </w:r>
      <w:r>
        <w:rPr>
          <w:rFonts w:hint="eastAsia" w:ascii="仿宋_GB2312" w:hAnsi="仿宋_GB2312" w:eastAsia="仿宋_GB2312" w:cs="仿宋_GB2312"/>
          <w:sz w:val="32"/>
          <w:szCs w:val="32"/>
          <w:lang w:eastAsia="zh-CN"/>
        </w:rPr>
        <w:t>（不含）的项目，由市级行业部门组织开展；</w:t>
      </w:r>
      <w:r>
        <w:rPr>
          <w:rFonts w:hint="eastAsia" w:ascii="仿宋_GB2312" w:hAnsi="仿宋_GB2312" w:eastAsia="仿宋_GB2312" w:cs="仿宋_GB2312"/>
          <w:sz w:val="32"/>
          <w:szCs w:val="32"/>
        </w:rPr>
        <w:t>1000万元（含）以上的项目，由省级行业主管部门组织开展。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省级和市级有关单位组织实施的项目，分别由省、市两级行业主管部门评审论证；区</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实施的项目</w:t>
      </w:r>
      <w:r>
        <w:rPr>
          <w:rFonts w:hint="eastAsia" w:ascii="仿宋_GB2312" w:hAnsi="仿宋_GB2312" w:eastAsia="仿宋_GB2312" w:cs="仿宋_GB2312"/>
          <w:sz w:val="32"/>
          <w:szCs w:val="32"/>
          <w:lang w:eastAsia="zh-CN"/>
        </w:rPr>
        <w:t>，由区级行业部门评审论证，</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同级</w:t>
      </w:r>
      <w:r>
        <w:rPr>
          <w:rFonts w:hint="eastAsia" w:ascii="仿宋_GB2312" w:hAnsi="仿宋_GB2312" w:eastAsia="仿宋_GB2312" w:cs="仿宋_GB2312"/>
          <w:sz w:val="32"/>
          <w:szCs w:val="32"/>
        </w:rPr>
        <w:t>财政预算编制流程履行报批程序后，一并纳入项目库管理。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在项目申报、评审、批复各环节，</w:t>
      </w:r>
      <w:r>
        <w:rPr>
          <w:rFonts w:hint="eastAsia" w:ascii="仿宋_GB2312" w:hAnsi="仿宋_GB2312" w:eastAsia="仿宋_GB2312" w:cs="仿宋_GB2312"/>
          <w:sz w:val="32"/>
          <w:szCs w:val="32"/>
          <w:lang w:eastAsia="zh-CN"/>
        </w:rPr>
        <w:t>延续以前项目管理中好的做法，</w:t>
      </w:r>
      <w:r>
        <w:rPr>
          <w:rFonts w:hint="eastAsia" w:ascii="仿宋_GB2312" w:hAnsi="仿宋_GB2312" w:eastAsia="仿宋_GB2312" w:cs="仿宋_GB2312"/>
          <w:sz w:val="32"/>
          <w:szCs w:val="32"/>
        </w:rPr>
        <w:t>严格落实公告公示要求，接受社会各界监督。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行业主管部门要根据年度资金安排，</w:t>
      </w:r>
      <w:r>
        <w:rPr>
          <w:rFonts w:hint="eastAsia" w:ascii="仿宋_GB2312" w:hAnsi="仿宋_GB2312" w:eastAsia="仿宋_GB2312" w:cs="仿宋_GB2312"/>
          <w:sz w:val="32"/>
          <w:szCs w:val="32"/>
          <w:lang w:eastAsia="zh-CN"/>
        </w:rPr>
        <w:t>从入库项目中择优遴选项目，</w:t>
      </w:r>
      <w:r>
        <w:rPr>
          <w:rFonts w:hint="eastAsia" w:ascii="仿宋_GB2312" w:hAnsi="仿宋_GB2312" w:eastAsia="仿宋_GB2312" w:cs="仿宋_GB2312"/>
          <w:sz w:val="32"/>
          <w:szCs w:val="32"/>
        </w:rPr>
        <w:t>商同财政部门及时制定年度项目实施计划。对纳入年度实施计划的项目，组织编制项目实施方案。建成后形成固定资产的项目，要在实施方案中明确拟确权对象。</w:t>
      </w:r>
      <w:r>
        <w:rPr>
          <w:rFonts w:hint="eastAsia" w:ascii="仿宋_GB2312" w:hAnsi="仿宋_GB2312" w:eastAsia="仿宋_GB2312" w:cs="仿宋_GB2312"/>
          <w:sz w:val="32"/>
          <w:szCs w:val="32"/>
          <w:lang w:eastAsia="zh-CN"/>
        </w:rPr>
        <w:t>年度项目实施计划经审定后，由农业农村部门牵头，会同其他行业主管部门和财政部门逐级</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rPr>
        <w:t>省行业主管部门和财政部门备案。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帮扶资金支持的项目由区级部门、镇街或者村（欠发达国有林场）作为项目实施单位，严禁由无实业经营、仅承担投融资功能的国有平台公司承接。项目实施单位要规范开展项目招投标、合同签订、施工建设、公告公开等工作，加快项目实施。确保在实施期内完成，不得随意变更项目实施地点、建设内容等，确需变更的要按规定履行审批程序。</w:t>
      </w:r>
      <w:r>
        <w:rPr>
          <w:rFonts w:hint="eastAsia" w:ascii="仿宋_GB2312" w:hAnsi="仿宋_GB2312" w:eastAsia="仿宋_GB2312" w:cs="仿宋_GB2312"/>
          <w:sz w:val="32"/>
          <w:szCs w:val="32"/>
        </w:rPr>
        <w:t>工程建设类项目要按照《中华人民共和国招标投标法》《中华人民共和国政府采购法》等有关规定执行，其中符合规定的村庄小型建设项目可按有关规定</w:t>
      </w:r>
      <w:r>
        <w:rPr>
          <w:rFonts w:hint="eastAsia" w:ascii="仿宋_GB2312" w:hAnsi="仿宋_GB2312" w:eastAsia="仿宋_GB2312" w:cs="仿宋_GB2312"/>
          <w:sz w:val="32"/>
          <w:szCs w:val="32"/>
          <w:lang w:eastAsia="zh-CN"/>
        </w:rPr>
        <w:t>实</w:t>
      </w:r>
      <w:r>
        <w:rPr>
          <w:rFonts w:hint="eastAsia" w:ascii="仿宋_GB2312" w:hAnsi="仿宋_GB2312" w:eastAsia="仿宋_GB2312" w:cs="仿宋_GB2312"/>
          <w:sz w:val="32"/>
          <w:szCs w:val="32"/>
        </w:rPr>
        <w:t>行简易审批。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各行业主管部门负责抓好项目实施工作跟踪督促和质量监督，推动项目按计划如期实施，完成后及时做好项目验收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none"/>
          <w:lang w:eastAsia="zh-CN"/>
        </w:rPr>
        <w:t>审计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报账</w:t>
      </w:r>
      <w:r>
        <w:rPr>
          <w:rFonts w:hint="eastAsia" w:ascii="仿宋_GB2312" w:hAnsi="仿宋_GB2312" w:eastAsia="仿宋_GB2312" w:cs="仿宋_GB2312"/>
          <w:sz w:val="32"/>
          <w:szCs w:val="32"/>
          <w:lang w:eastAsia="zh-CN"/>
        </w:rPr>
        <w:t>、确权、移交等</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eastAsia="zh-CN"/>
        </w:rPr>
        <w:t>完善项目管理全过程资料并整理归档。在项目入库环节进行提级综合论证的项目，在项目立项和实施环节，对应省、市级行业主管部门应做好全过程跟踪监管。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帮扶资金实施的产业项目</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建立健全联农带农机制（对欠发达国有林场任务不作硬性要求）。要积极发挥新型农业经营主体带动作用，</w:t>
      </w:r>
      <w:r>
        <w:rPr>
          <w:rFonts w:hint="eastAsia" w:ascii="仿宋_GB2312" w:hAnsi="仿宋_GB2312" w:eastAsia="仿宋_GB2312" w:cs="仿宋_GB2312"/>
          <w:sz w:val="32"/>
          <w:szCs w:val="32"/>
          <w:lang w:eastAsia="zh-CN"/>
        </w:rPr>
        <w:t>通过方案、协议等形式，采取土地流转、就业务工、带动生产、帮助产销对接、资产入股，收益分红等多种方式，</w:t>
      </w:r>
      <w:r>
        <w:rPr>
          <w:rFonts w:hint="eastAsia" w:ascii="仿宋_GB2312" w:hAnsi="仿宋_GB2312" w:eastAsia="仿宋_GB2312" w:cs="仿宋_GB2312"/>
          <w:sz w:val="32"/>
          <w:szCs w:val="32"/>
        </w:rPr>
        <w:t>与重点帮扶群体建立稳定的利益联结，可适当带动其他农户，不得采用简单入股分红方式实施项目。到人到户产业项目应聚焦农业主导产业和特色产业，事先合理确定实施方式和奖励补助标准。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二十三</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u w:val="none"/>
        </w:rPr>
        <w:t>帮扶资金支持的项目实施全过程绩效管理。项目申报时</w:t>
      </w:r>
      <w:r>
        <w:rPr>
          <w:rFonts w:hint="eastAsia" w:ascii="仿宋_GB2312" w:hAnsi="仿宋_GB2312" w:eastAsia="仿宋_GB2312" w:cs="仿宋_GB2312"/>
          <w:sz w:val="32"/>
          <w:szCs w:val="32"/>
          <w:u w:val="none"/>
          <w:lang w:eastAsia="zh-CN"/>
        </w:rPr>
        <w:t>由申报单位制定</w:t>
      </w:r>
      <w:r>
        <w:rPr>
          <w:rFonts w:hint="eastAsia" w:ascii="仿宋_GB2312" w:hAnsi="仿宋_GB2312" w:eastAsia="仿宋_GB2312" w:cs="仿宋_GB2312"/>
          <w:sz w:val="32"/>
          <w:szCs w:val="32"/>
          <w:u w:val="none"/>
        </w:rPr>
        <w:t>具体绩效目标，</w:t>
      </w:r>
      <w:r>
        <w:rPr>
          <w:rFonts w:hint="eastAsia" w:ascii="仿宋_GB2312" w:hAnsi="仿宋_GB2312" w:eastAsia="仿宋_GB2312" w:cs="仿宋_GB2312"/>
          <w:sz w:val="32"/>
          <w:szCs w:val="32"/>
          <w:u w:val="none"/>
          <w:lang w:eastAsia="zh-CN"/>
        </w:rPr>
        <w:t>按实施方案详细填制《绩效目标表》</w:t>
      </w:r>
      <w:r>
        <w:rPr>
          <w:rFonts w:hint="eastAsia" w:ascii="仿宋_GB2312" w:hAnsi="仿宋_GB2312" w:eastAsia="仿宋_GB2312" w:cs="仿宋_GB2312"/>
          <w:sz w:val="32"/>
          <w:szCs w:val="32"/>
          <w:u w:val="none"/>
        </w:rPr>
        <w:t>事中</w:t>
      </w:r>
      <w:r>
        <w:rPr>
          <w:rFonts w:hint="eastAsia" w:ascii="仿宋_GB2312" w:hAnsi="仿宋_GB2312" w:eastAsia="仿宋_GB2312" w:cs="仿宋_GB2312"/>
          <w:sz w:val="32"/>
          <w:szCs w:val="32"/>
          <w:u w:val="none"/>
          <w:lang w:eastAsia="zh-CN"/>
        </w:rPr>
        <w:t>要在检查中</w:t>
      </w:r>
      <w:r>
        <w:rPr>
          <w:rFonts w:hint="eastAsia" w:ascii="仿宋_GB2312" w:hAnsi="仿宋_GB2312" w:eastAsia="仿宋_GB2312" w:cs="仿宋_GB2312"/>
          <w:sz w:val="32"/>
          <w:szCs w:val="32"/>
          <w:u w:val="none"/>
        </w:rPr>
        <w:t>开展绩效监控，</w:t>
      </w:r>
      <w:r>
        <w:rPr>
          <w:rFonts w:hint="eastAsia" w:ascii="仿宋_GB2312" w:hAnsi="仿宋_GB2312" w:eastAsia="仿宋_GB2312" w:cs="仿宋_GB2312"/>
          <w:sz w:val="32"/>
          <w:szCs w:val="32"/>
          <w:u w:val="none"/>
          <w:lang w:eastAsia="zh-CN"/>
        </w:rPr>
        <w:t>填写《绩效目标运行监控表》确保绩效目标不偏离；</w:t>
      </w:r>
      <w:r>
        <w:rPr>
          <w:rFonts w:hint="eastAsia" w:ascii="仿宋_GB2312" w:hAnsi="仿宋_GB2312" w:eastAsia="仿宋_GB2312" w:cs="仿宋_GB2312"/>
          <w:sz w:val="32"/>
          <w:szCs w:val="32"/>
          <w:u w:val="none"/>
        </w:rPr>
        <w:t>事后开展绩效评价，</w:t>
      </w:r>
      <w:r>
        <w:rPr>
          <w:rFonts w:hint="eastAsia" w:ascii="仿宋_GB2312" w:hAnsi="仿宋_GB2312" w:eastAsia="仿宋_GB2312" w:cs="仿宋_GB2312"/>
          <w:sz w:val="32"/>
          <w:szCs w:val="32"/>
          <w:u w:val="none"/>
          <w:lang w:eastAsia="zh-CN"/>
        </w:rPr>
        <w:t>完成《绩效目标自评表》评分及绩效评价报告，行业主管部门要</w:t>
      </w:r>
      <w:r>
        <w:rPr>
          <w:rFonts w:hint="eastAsia" w:ascii="仿宋_GB2312" w:hAnsi="仿宋_GB2312" w:eastAsia="仿宋_GB2312" w:cs="仿宋_GB2312"/>
          <w:sz w:val="32"/>
          <w:szCs w:val="32"/>
          <w:u w:val="none"/>
        </w:rPr>
        <w:t>加强评价结果运用。评价结果作为</w:t>
      </w:r>
      <w:r>
        <w:rPr>
          <w:rFonts w:hint="eastAsia" w:ascii="仿宋_GB2312" w:hAnsi="仿宋_GB2312" w:eastAsia="仿宋_GB2312" w:cs="仿宋_GB2312"/>
          <w:sz w:val="32"/>
          <w:szCs w:val="32"/>
          <w:u w:val="none"/>
          <w:lang w:eastAsia="zh-CN"/>
        </w:rPr>
        <w:t>各部门及镇街</w:t>
      </w:r>
      <w:r>
        <w:rPr>
          <w:rFonts w:hint="eastAsia" w:ascii="仿宋_GB2312" w:hAnsi="仿宋_GB2312" w:eastAsia="仿宋_GB2312" w:cs="仿宋_GB2312"/>
          <w:sz w:val="32"/>
          <w:szCs w:val="32"/>
          <w:u w:val="none"/>
        </w:rPr>
        <w:t>以后年度申请项目资金的重要参考依据。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二十四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帮扶资金实施项目优先形成固定资产，具备条件的应尽量确权到村。各</w:t>
      </w:r>
      <w:r>
        <w:rPr>
          <w:rFonts w:hint="eastAsia" w:ascii="仿宋_GB2312" w:hAnsi="仿宋_GB2312" w:eastAsia="仿宋_GB2312" w:cs="仿宋_GB2312"/>
          <w:sz w:val="32"/>
          <w:szCs w:val="32"/>
          <w:lang w:eastAsia="zh-CN"/>
        </w:rPr>
        <w:t>预算单位</w:t>
      </w:r>
      <w:r>
        <w:rPr>
          <w:rFonts w:hint="eastAsia" w:ascii="仿宋_GB2312" w:hAnsi="仿宋_GB2312" w:eastAsia="仿宋_GB2312" w:cs="仿宋_GB2312"/>
          <w:sz w:val="32"/>
          <w:szCs w:val="32"/>
        </w:rPr>
        <w:t>要加强项目资产全过程管理，在项目谋划时明确资产管护责任，完工验收后做好资产确权移交，加强资产后续运营管护，</w:t>
      </w:r>
      <w:r>
        <w:rPr>
          <w:rFonts w:hint="eastAsia" w:ascii="仿宋_GB2312" w:hAnsi="仿宋_GB2312" w:eastAsia="仿宋_GB2312" w:cs="仿宋_GB2312"/>
          <w:sz w:val="32"/>
          <w:szCs w:val="32"/>
          <w:lang w:eastAsia="zh-CN"/>
        </w:rPr>
        <w:t>帮扶项目资产收益应当规范分配使用，通过科学制定收益分配方案，合理确定收益比例，明确受益对象并细化补助标准，切实向重点帮扶群体倾斜。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第五章 监督检查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帮扶资金纳入预算执行常态化监督范围，财政部门依托预算管理一体化系统转移支付监控模块，加强预算执行常态化监督，发现问题及时处理，根据情况进一步采取追回已拨付资金、扣减预算等措施强化监督。财政和行业主管部门按要求配合纪检监察、审计等机关做好帮扶资金和项目的检查、审计等工作。</w:t>
      </w:r>
      <w:r>
        <w:rPr>
          <w:rFonts w:hint="eastAsia" w:ascii="仿宋_GB2312" w:hAnsi="仿宋_GB2312" w:eastAsia="仿宋_GB2312" w:cs="仿宋_GB2312"/>
          <w:sz w:val="32"/>
          <w:szCs w:val="32"/>
          <w:lang w:eastAsia="zh-CN"/>
        </w:rPr>
        <w:t>对发现问题及时制定整改措施，切实整改到位。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财政和行业主管部门、资金使用单位及其工作人员在帮扶资金分配、使用、管理等工作中，存在违反本办法规定，以及滥用职权、玩忽职守、徇私舞弊等违法违规行为的，依法依规追究相应责任；涉嫌犯罪的，移送有关国家机关处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b/>
          <w:bCs/>
          <w:sz w:val="32"/>
          <w:szCs w:val="32"/>
        </w:rPr>
      </w:pPr>
      <w:r>
        <w:rPr>
          <w:rFonts w:hint="eastAsia" w:ascii="黑体" w:hAnsi="黑体" w:eastAsia="黑体" w:cs="黑体"/>
          <w:b/>
          <w:bCs/>
          <w:sz w:val="32"/>
          <w:szCs w:val="32"/>
        </w:rPr>
        <w:t>第六章 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none"/>
          <w:lang w:eastAsia="zh-CN"/>
        </w:rPr>
        <w:t>区级</w:t>
      </w:r>
      <w:r>
        <w:rPr>
          <w:rFonts w:hint="eastAsia" w:ascii="仿宋_GB2312" w:hAnsi="仿宋_GB2312" w:eastAsia="仿宋_GB2312" w:cs="仿宋_GB2312"/>
          <w:sz w:val="32"/>
          <w:szCs w:val="32"/>
          <w:u w:val="none"/>
        </w:rPr>
        <w:t>财政部门根据常态化帮扶任务需要和财力情况，每年预算安排一定规模的本级帮扶资金，保持投入力度总体稳定。</w:t>
      </w:r>
      <w:r>
        <w:rPr>
          <w:rFonts w:hint="eastAsia" w:ascii="仿宋_GB2312" w:hAnsi="仿宋_GB2312" w:eastAsia="仿宋_GB2312" w:cs="仿宋_GB2312"/>
          <w:b w:val="0"/>
          <w:bCs w:val="0"/>
          <w:sz w:val="32"/>
          <w:szCs w:val="32"/>
          <w:u w:val="none"/>
          <w:lang w:eastAsia="zh-CN"/>
        </w:rPr>
        <w:t>区财政部门配合农业农村部门及</w:t>
      </w:r>
      <w:r>
        <w:rPr>
          <w:rFonts w:hint="eastAsia" w:ascii="仿宋_GB2312" w:hAnsi="仿宋_GB2312" w:eastAsia="仿宋_GB2312" w:cs="仿宋_GB2312"/>
          <w:sz w:val="32"/>
          <w:szCs w:val="32"/>
          <w:u w:val="none"/>
        </w:rPr>
        <w:t>行业主管部门，根据本办法和</w:t>
      </w:r>
      <w:r>
        <w:rPr>
          <w:rFonts w:hint="eastAsia" w:ascii="仿宋_GB2312" w:hAnsi="仿宋_GB2312" w:eastAsia="仿宋_GB2312" w:cs="仿宋_GB2312"/>
          <w:sz w:val="32"/>
          <w:szCs w:val="32"/>
          <w:u w:val="none"/>
          <w:lang w:eastAsia="zh-CN"/>
        </w:rPr>
        <w:t>区级实际</w:t>
      </w:r>
      <w:r>
        <w:rPr>
          <w:rFonts w:hint="eastAsia" w:ascii="仿宋_GB2312" w:hAnsi="仿宋_GB2312" w:eastAsia="仿宋_GB2312" w:cs="仿宋_GB2312"/>
          <w:sz w:val="32"/>
          <w:szCs w:val="32"/>
          <w:u w:val="none"/>
        </w:rPr>
        <w:t>情况制定帮扶资金</w:t>
      </w:r>
      <w:r>
        <w:rPr>
          <w:rFonts w:hint="eastAsia" w:ascii="仿宋_GB2312" w:hAnsi="仿宋_GB2312" w:eastAsia="仿宋_GB2312" w:cs="仿宋_GB2312"/>
          <w:sz w:val="32"/>
          <w:szCs w:val="32"/>
          <w:u w:val="none"/>
          <w:lang w:eastAsia="zh-CN"/>
        </w:rPr>
        <w:t>项目管理</w:t>
      </w:r>
      <w:r>
        <w:rPr>
          <w:rFonts w:hint="eastAsia" w:ascii="仿宋_GB2312" w:hAnsi="仿宋_GB2312" w:eastAsia="仿宋_GB2312" w:cs="仿宋_GB2312"/>
          <w:sz w:val="32"/>
          <w:szCs w:val="32"/>
          <w:u w:val="none"/>
        </w:rPr>
        <w:t>实施细则。</w:t>
      </w:r>
      <w:r>
        <w:rPr>
          <w:rFonts w:hint="eastAsia" w:ascii="仿宋_GB2312" w:hAnsi="仿宋_GB2312" w:eastAsia="仿宋_GB2312" w:cs="仿宋_GB2312"/>
          <w:sz w:val="32"/>
          <w:szCs w:val="32"/>
          <w:u w:val="none"/>
          <w:lang w:eastAsia="zh-CN"/>
        </w:rPr>
        <w:t>与中央、省级和市级帮扶资金做好统筹对接，查缺补漏。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b/>
          <w:bCs/>
          <w:sz w:val="32"/>
          <w:szCs w:val="32"/>
          <w:u w:val="none"/>
        </w:rPr>
        <w:t>第二十</w:t>
      </w:r>
      <w:r>
        <w:rPr>
          <w:rFonts w:hint="eastAsia" w:ascii="仿宋_GB2312" w:hAnsi="仿宋_GB2312" w:eastAsia="仿宋_GB2312" w:cs="仿宋_GB2312"/>
          <w:b/>
          <w:bCs/>
          <w:sz w:val="32"/>
          <w:szCs w:val="32"/>
          <w:u w:val="none"/>
          <w:lang w:eastAsia="zh-CN"/>
        </w:rPr>
        <w:t>八</w:t>
      </w:r>
      <w:r>
        <w:rPr>
          <w:rFonts w:hint="eastAsia" w:ascii="仿宋_GB2312" w:hAnsi="仿宋_GB2312" w:eastAsia="仿宋_GB2312" w:cs="仿宋_GB2312"/>
          <w:b/>
          <w:bCs/>
          <w:sz w:val="32"/>
          <w:szCs w:val="32"/>
          <w:u w:val="none"/>
        </w:rPr>
        <w:t>条</w:t>
      </w:r>
      <w:r>
        <w:rPr>
          <w:rFonts w:hint="eastAsia" w:ascii="仿宋_GB2312" w:hAnsi="仿宋_GB2312" w:eastAsia="仿宋_GB2312" w:cs="仿宋_GB2312"/>
          <w:sz w:val="32"/>
          <w:szCs w:val="32"/>
          <w:u w:val="none"/>
        </w:rPr>
        <w:t xml:space="preserve"> 本办法自2026年1月1日起施行，有效期5年，由</w:t>
      </w:r>
      <w:r>
        <w:rPr>
          <w:rFonts w:hint="eastAsia" w:ascii="仿宋_GB2312" w:hAnsi="仿宋_GB2312" w:eastAsia="仿宋_GB2312" w:cs="仿宋_GB2312"/>
          <w:sz w:val="32"/>
          <w:szCs w:val="32"/>
          <w:u w:val="none"/>
          <w:lang w:eastAsia="zh-CN"/>
        </w:rPr>
        <w:t>区</w:t>
      </w:r>
      <w:r>
        <w:rPr>
          <w:rFonts w:hint="eastAsia" w:ascii="仿宋_GB2312" w:hAnsi="仿宋_GB2312" w:eastAsia="仿宋_GB2312" w:cs="仿宋_GB2312"/>
          <w:sz w:val="32"/>
          <w:szCs w:val="32"/>
          <w:u w:val="none"/>
        </w:rPr>
        <w:t>财政部门会同行业主管部门负责解释。《</w:t>
      </w:r>
      <w:r>
        <w:rPr>
          <w:rFonts w:hint="eastAsia" w:ascii="仿宋_GB2312" w:hAnsi="仿宋_GB2312" w:eastAsia="仿宋_GB2312" w:cs="仿宋_GB2312"/>
          <w:sz w:val="32"/>
          <w:szCs w:val="32"/>
          <w:u w:val="none"/>
          <w:lang w:eastAsia="zh-CN"/>
        </w:rPr>
        <w:t>宝鸡市陈仓区财政局</w:t>
      </w:r>
      <w:r>
        <w:rPr>
          <w:rFonts w:hint="eastAsia" w:ascii="仿宋_GB2312" w:hAnsi="仿宋_GB2312" w:eastAsia="仿宋_GB2312" w:cs="仿宋_GB2312"/>
          <w:sz w:val="32"/>
          <w:szCs w:val="32"/>
          <w:u w:val="none"/>
        </w:rPr>
        <w:t>等</w:t>
      </w:r>
      <w:r>
        <w:rPr>
          <w:rFonts w:hint="eastAsia" w:ascii="仿宋_GB2312" w:hAnsi="仿宋_GB2312" w:eastAsia="仿宋_GB2312" w:cs="仿宋_GB2312"/>
          <w:sz w:val="32"/>
          <w:szCs w:val="32"/>
          <w:u w:val="none"/>
          <w:lang w:eastAsia="zh-CN"/>
        </w:rPr>
        <w:t>六</w:t>
      </w:r>
      <w:r>
        <w:rPr>
          <w:rFonts w:hint="eastAsia" w:ascii="仿宋_GB2312" w:hAnsi="仿宋_GB2312" w:eastAsia="仿宋_GB2312" w:cs="仿宋_GB2312"/>
          <w:sz w:val="32"/>
          <w:szCs w:val="32"/>
          <w:u w:val="none"/>
        </w:rPr>
        <w:t>部门关于印发〈</w:t>
      </w:r>
      <w:r>
        <w:rPr>
          <w:rFonts w:hint="eastAsia" w:ascii="仿宋_GB2312" w:hAnsi="仿宋_GB2312" w:eastAsia="仿宋_GB2312" w:cs="仿宋_GB2312"/>
          <w:sz w:val="32"/>
          <w:szCs w:val="32"/>
          <w:u w:val="none"/>
          <w:lang w:eastAsia="zh-CN"/>
        </w:rPr>
        <w:t>宝鸡市陈仓区</w:t>
      </w:r>
      <w:r>
        <w:rPr>
          <w:rFonts w:hint="eastAsia" w:ascii="仿宋_GB2312" w:hAnsi="仿宋_GB2312" w:eastAsia="仿宋_GB2312" w:cs="仿宋_GB2312"/>
          <w:sz w:val="32"/>
          <w:szCs w:val="32"/>
          <w:u w:val="none"/>
        </w:rPr>
        <w:t>财政衔接推进乡村振兴补助资金管理办法〉的通知》（</w:t>
      </w:r>
      <w:r>
        <w:rPr>
          <w:rFonts w:hint="eastAsia" w:ascii="仿宋_GB2312" w:hAnsi="仿宋_GB2312" w:eastAsia="仿宋_GB2312" w:cs="仿宋_GB2312"/>
          <w:sz w:val="32"/>
          <w:szCs w:val="32"/>
          <w:u w:val="none"/>
          <w:lang w:eastAsia="zh-CN"/>
        </w:rPr>
        <w:t>宝陈</w:t>
      </w:r>
      <w:r>
        <w:rPr>
          <w:rFonts w:hint="eastAsia" w:ascii="仿宋_GB2312" w:hAnsi="仿宋_GB2312" w:eastAsia="仿宋_GB2312" w:cs="仿宋_GB2312"/>
          <w:sz w:val="32"/>
          <w:szCs w:val="32"/>
          <w:u w:val="none"/>
        </w:rPr>
        <w:t>财</w:t>
      </w:r>
      <w:r>
        <w:rPr>
          <w:rFonts w:hint="eastAsia" w:ascii="仿宋_GB2312" w:hAnsi="仿宋_GB2312" w:eastAsia="仿宋_GB2312" w:cs="仿宋_GB2312"/>
          <w:sz w:val="32"/>
          <w:szCs w:val="32"/>
          <w:u w:val="none"/>
          <w:lang w:eastAsia="zh-CN"/>
        </w:rPr>
        <w:t>农字</w:t>
      </w:r>
      <w:r>
        <w:rPr>
          <w:rFonts w:hint="eastAsia" w:ascii="仿宋_GB2312" w:hAnsi="仿宋_GB2312" w:eastAsia="仿宋_GB2312" w:cs="仿宋_GB2312"/>
          <w:sz w:val="32"/>
          <w:szCs w:val="32"/>
          <w:u w:val="none"/>
        </w:rPr>
        <w:t>〔2021〕</w:t>
      </w:r>
      <w:r>
        <w:rPr>
          <w:rFonts w:hint="eastAsia" w:ascii="仿宋_GB2312" w:hAnsi="仿宋_GB2312" w:eastAsia="仿宋_GB2312" w:cs="仿宋_GB2312"/>
          <w:sz w:val="32"/>
          <w:szCs w:val="32"/>
          <w:u w:val="none"/>
          <w:lang w:val="en-US" w:eastAsia="zh-CN"/>
        </w:rPr>
        <w:t>38</w:t>
      </w:r>
      <w:r>
        <w:rPr>
          <w:rFonts w:hint="eastAsia" w:ascii="仿宋_GB2312" w:hAnsi="仿宋_GB2312" w:eastAsia="仿宋_GB2312" w:cs="仿宋_GB2312"/>
          <w:sz w:val="32"/>
          <w:szCs w:val="32"/>
          <w:u w:val="none"/>
        </w:rPr>
        <w:t>号）废止。</w:t>
      </w:r>
    </w:p>
    <w:bookmarkEnd w:id="0"/>
    <w:p>
      <w:pPr>
        <w:bidi w:val="0"/>
        <w:jc w:val="left"/>
        <w:rPr>
          <w:rFonts w:hint="eastAsia"/>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BE25A3"/>
    <w:multiLevelType w:val="singleLevel"/>
    <w:tmpl w:val="77BE25A3"/>
    <w:lvl w:ilvl="0" w:tentative="0">
      <w:start w:val="14"/>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hZTg2ZDY2ZDRkYzdhMmZhYzJhYmVhOTRmMDRkYzUifQ=="/>
  </w:docVars>
  <w:rsids>
    <w:rsidRoot w:val="792E6589"/>
    <w:rsid w:val="792E6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2026-09-17T08:15:00Z</dcterms:created>
  <dc:creator>IRax</dc:creator>
  <cp:lastModifiedBy>IRax</cp:lastModifiedBy>
  <dcterms:modified xsi:type="dcterms:W3CDTF">2026-09-17T08:17:24Z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C1F3CF880900420B8F8FD1B3B9A9799B_11</vt:lpwstr>
  </property>
</Properties>
</file>