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597"/>
        <w:tblW w:w="9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9"/>
        <w:gridCol w:w="71"/>
        <w:gridCol w:w="467"/>
        <w:gridCol w:w="1205"/>
        <w:gridCol w:w="128"/>
        <w:gridCol w:w="360"/>
        <w:gridCol w:w="1800"/>
        <w:gridCol w:w="900"/>
        <w:gridCol w:w="3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陈仓区省级财政衔接推进乡村振兴补助资金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  <w:lang w:val="en-US" w:eastAsia="zh-CN"/>
              </w:rPr>
              <w:t>（巩固拓展脱贫攻坚和乡村振兴任务）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绩效目标表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（202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8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省级财政衔接推进乡村振兴补助资金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（巩固拓展脱贫攻坚和乡村振兴任务）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宝鸡市陈仓区农业农村局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相关部门和镇街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资金情况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8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目标：资金下达到1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个镇街和相关部门，主要用于支持巩固拓展脱贫攻坚成果同乡村振兴有效衔接。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指标内容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巩固提升镇街个数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资金使用合格率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用于产业发展的比重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资金支付进度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年11月底前支付不低于92%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资金支付及时率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已脱贫村低收入人口收入</w:t>
            </w:r>
          </w:p>
        </w:tc>
        <w:tc>
          <w:tcPr>
            <w:tcW w:w="3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已脱贫村生产生活条件</w:t>
            </w:r>
          </w:p>
        </w:tc>
        <w:tc>
          <w:tcPr>
            <w:tcW w:w="3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巩固提升脱贫成效质量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巩固提升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资金使用对象满意度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≧90%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402123FB"/>
    <w:rsid w:val="402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2026-03-26T08:45:00Z</dcterms:created>
  <dc:creator>IRax</dc:creator>
  <cp:lastModifiedBy>IRax</cp:lastModifiedBy>
  <dcterms:modified xsi:type="dcterms:W3CDTF">2026-03-26T08:46:24Z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E8760CFAA02F42E6A342A5D4CECAA23A_11</vt:lpwstr>
  </property>
</Properties>
</file>