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spacing w:line="300" w:lineRule="exact"/>
        <w:rPr>
          <w:rFonts w:ascii="Times New Roman" w:hAnsi="Times New Roman" w:eastAsia="方正小标宋简体"/>
          <w:bCs/>
          <w:sz w:val="44"/>
          <w:szCs w:val="44"/>
        </w:rPr>
      </w:pPr>
      <w:r>
        <w:rPr>
          <w:rFonts w:hint="eastAsia" w:ascii="黑体" w:hAnsi="黑体" w:cs="黑体"/>
          <w:b w:val="0"/>
          <w:sz w:val="32"/>
          <w:szCs w:val="32"/>
        </w:rPr>
        <w:t>附件2</w:t>
      </w:r>
    </w:p>
    <w:p>
      <w:pPr>
        <w:pStyle w:val="3"/>
        <w:numPr>
          <w:ilvl w:val="0"/>
          <w:numId w:val="0"/>
        </w:numPr>
        <w:spacing w:line="640" w:lineRule="exact"/>
        <w:jc w:val="center"/>
        <w:rPr>
          <w:rFonts w:ascii="Times New Roman" w:hAnsi="Times New Roman" w:eastAsia="方正小标宋简体"/>
          <w:b w:val="0"/>
          <w:sz w:val="44"/>
          <w:szCs w:val="44"/>
        </w:rPr>
      </w:pPr>
      <w:bookmarkStart w:id="0" w:name="_GoBack"/>
      <w:r>
        <w:rPr>
          <w:rFonts w:hint="eastAsia" w:ascii="Times New Roman" w:hAnsi="Times New Roman" w:eastAsia="方正小标宋简体"/>
          <w:b w:val="0"/>
          <w:sz w:val="44"/>
          <w:szCs w:val="44"/>
        </w:rPr>
        <w:t>陈仓区</w:t>
      </w:r>
      <w:r>
        <w:rPr>
          <w:rFonts w:ascii="Times New Roman" w:hAnsi="Times New Roman" w:eastAsia="方正小标宋简体"/>
          <w:b w:val="0"/>
          <w:sz w:val="44"/>
          <w:szCs w:val="44"/>
        </w:rPr>
        <w:t>疫苗安全应急指挥部</w:t>
      </w:r>
    </w:p>
    <w:p>
      <w:pPr>
        <w:pStyle w:val="3"/>
        <w:numPr>
          <w:ilvl w:val="0"/>
          <w:numId w:val="0"/>
        </w:numPr>
        <w:spacing w:line="640" w:lineRule="exact"/>
        <w:jc w:val="center"/>
        <w:rPr>
          <w:rFonts w:ascii="Times New Roman" w:hAnsi="Times New Roman" w:eastAsia="方正小标宋简体"/>
          <w:b w:val="0"/>
          <w:sz w:val="44"/>
          <w:szCs w:val="44"/>
        </w:rPr>
      </w:pPr>
      <w:r>
        <w:rPr>
          <w:rFonts w:ascii="Times New Roman" w:hAnsi="Times New Roman" w:eastAsia="方正小标宋简体"/>
          <w:b w:val="0"/>
          <w:sz w:val="44"/>
          <w:szCs w:val="44"/>
        </w:rPr>
        <w:t>成员单位职责</w:t>
      </w:r>
    </w:p>
    <w:bookmarkEnd w:id="0"/>
    <w:p>
      <w:pPr>
        <w:spacing w:line="640" w:lineRule="exact"/>
        <w:ind w:firstLine="906" w:firstLineChars="200"/>
        <w:rPr>
          <w:rFonts w:ascii="Times New Roman" w:hAnsi="Times New Roman" w:eastAsia="仿宋_GB2312"/>
          <w:b/>
          <w:bCs/>
          <w:kern w:val="0"/>
          <w:sz w:val="44"/>
          <w:szCs w:val="44"/>
        </w:rPr>
      </w:pPr>
    </w:p>
    <w:p>
      <w:pPr>
        <w:spacing w:line="640" w:lineRule="exact"/>
        <w:ind w:firstLine="66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1.区委宣传部：负责把握疫苗安全突发事件新闻报道的正确导向，指导协调新闻单位做好疫苗安全突发事件的新闻报道；指导事件调查处置部门及时发布权威信息；加强对互联网信息管理和网络舆论引导。</w:t>
      </w:r>
    </w:p>
    <w:p>
      <w:pPr>
        <w:spacing w:line="640" w:lineRule="exact"/>
        <w:ind w:firstLine="66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2.区委政法委：负责指导在疫苗安全突发事件应急处置中可能引发的社会稳定问题。督促协调重大危害疫苗安全类刑事案件依法处理工作。</w:t>
      </w:r>
    </w:p>
    <w:p>
      <w:pPr>
        <w:spacing w:line="640" w:lineRule="exact"/>
        <w:ind w:firstLine="66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3.区委编办：按照机构编制规则程序，调整疫苗安全监管部门、专业技术机构的职责。</w:t>
      </w:r>
    </w:p>
    <w:p>
      <w:pPr>
        <w:spacing w:line="640" w:lineRule="exact"/>
        <w:ind w:firstLine="66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4.区发改局：配合区行政审批服务局指导各镇（街）按照项目属地划分，做好疫苗相关项目备案工作。负责组织疫苗安全事件所需重要物资的收储、轮换和日常管理。</w:t>
      </w:r>
    </w:p>
    <w:p>
      <w:pPr>
        <w:spacing w:line="640" w:lineRule="exact"/>
        <w:ind w:firstLine="666" w:firstLineChars="200"/>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shd w:val="clear" w:color="auto" w:fill="FFFFFF"/>
          <w:lang w:bidi="ar"/>
        </w:rPr>
        <w:t>区教体局：协助处置发生在学校或托幼机构的疫苗安全突发事件，做好在校学生、教职工的宣传教育和自我防护工作。</w:t>
      </w:r>
    </w:p>
    <w:p>
      <w:pPr>
        <w:spacing w:line="640" w:lineRule="exact"/>
        <w:ind w:firstLine="66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6.区工信局：负责疫苗安全突发事件处置的科技攻关，为事件处置提供技术支持。</w:t>
      </w:r>
      <w:r>
        <w:rPr>
          <w:rFonts w:hint="eastAsia" w:ascii="仿宋_GB2312" w:hAnsi="仿宋_GB2312" w:eastAsia="仿宋_GB2312" w:cs="仿宋_GB2312"/>
          <w:sz w:val="32"/>
          <w:szCs w:val="32"/>
          <w:shd w:val="clear" w:color="auto" w:fill="FFFFFF"/>
          <w:lang w:bidi="ar"/>
        </w:rPr>
        <w:t>承担疫苗安全突发事件应急处置中所需药品和医疗器械的保障供应工作。</w:t>
      </w:r>
    </w:p>
    <w:p>
      <w:pPr>
        <w:spacing w:line="600" w:lineRule="exact"/>
        <w:ind w:firstLine="666" w:firstLineChars="200"/>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rPr>
        <w:t>7.公安分局：</w:t>
      </w:r>
      <w:r>
        <w:rPr>
          <w:rFonts w:hint="eastAsia" w:ascii="仿宋_GB2312" w:hAnsi="仿宋_GB2312" w:eastAsia="仿宋_GB2312" w:cs="仿宋_GB2312"/>
          <w:sz w:val="32"/>
          <w:szCs w:val="32"/>
          <w:shd w:val="clear" w:color="auto" w:fill="FFFFFF"/>
          <w:lang w:bidi="ar"/>
        </w:rPr>
        <w:t>负责维护事件处置中的治安秩序；负责对涉嫌刑事犯罪行为进行侦办；对发布事件虚假信息、造谣滋事等违法行为依法予以调查处理。</w:t>
      </w:r>
    </w:p>
    <w:p>
      <w:pPr>
        <w:spacing w:line="600" w:lineRule="exact"/>
        <w:ind w:firstLine="666" w:firstLineChars="200"/>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8.陈仓交警大队：负责</w:t>
      </w:r>
      <w:r>
        <w:rPr>
          <w:rFonts w:hint="eastAsia" w:ascii="仿宋_GB2312" w:hAnsi="仿宋_GB2312" w:eastAsia="仿宋_GB2312" w:cs="仿宋_GB2312"/>
          <w:sz w:val="32"/>
          <w:szCs w:val="32"/>
        </w:rPr>
        <w:t>周边道路交通管制、保障应急救援道路畅通。</w:t>
      </w:r>
    </w:p>
    <w:p>
      <w:pPr>
        <w:spacing w:line="640" w:lineRule="exact"/>
        <w:ind w:firstLine="66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9.区司法局：负责疫苗安全突发事件时人民政府决策的法律顾问工作。</w:t>
      </w:r>
    </w:p>
    <w:p>
      <w:pPr>
        <w:spacing w:line="640" w:lineRule="exact"/>
        <w:ind w:firstLine="66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10.区财政局：负责疫苗安全突发事件应急救援、应急处置的资金保障。</w:t>
      </w:r>
    </w:p>
    <w:p>
      <w:pPr>
        <w:pStyle w:val="8"/>
        <w:spacing w:line="640" w:lineRule="exact"/>
        <w:ind w:firstLine="668"/>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11.区人社局：</w:t>
      </w:r>
      <w:r>
        <w:rPr>
          <w:rFonts w:hint="eastAsia" w:ascii="仿宋_GB2312" w:hAnsi="仿宋_GB2312" w:eastAsia="仿宋_GB2312" w:cs="仿宋_GB2312"/>
          <w:sz w:val="32"/>
          <w:szCs w:val="32"/>
          <w:shd w:val="clear" w:color="auto" w:fill="FFFFFF"/>
        </w:rPr>
        <w:t>负责对在疫苗安全突发事件应急处置中作出突出贡献的集体和个人的表彰奖励工作。</w:t>
      </w:r>
    </w:p>
    <w:p>
      <w:pPr>
        <w:spacing w:line="640" w:lineRule="exact"/>
        <w:ind w:firstLine="66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12.区卫健局：负责组织协调相关医疗机构、疾病预防控制机构和接种单位，开展疫苗安全突发事件患者医疗救治。</w:t>
      </w:r>
    </w:p>
    <w:p>
      <w:pPr>
        <w:spacing w:line="640" w:lineRule="exact"/>
        <w:ind w:firstLine="66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13.区应急管理局：负责指导全区疫苗安全突发事件应急预案体系建设；协助有关监管部门组织处置事件引发的次生疫苗安全突发事件。</w:t>
      </w:r>
    </w:p>
    <w:p>
      <w:pPr>
        <w:spacing w:line="640" w:lineRule="exact"/>
        <w:ind w:firstLine="666" w:firstLineChars="200"/>
        <w:rPr>
          <w:rFonts w:hint="eastAsia" w:ascii="仿宋_GB2312" w:hAnsi="仿宋_GB2312" w:eastAsia="仿宋_GB2312" w:cs="仿宋_GB2312"/>
          <w:sz w:val="32"/>
          <w:szCs w:val="32"/>
        </w:rPr>
        <w:sectPr>
          <w:footerReference r:id="rId3" w:type="default"/>
          <w:pgSz w:w="11906" w:h="16838"/>
          <w:pgMar w:top="1701" w:right="1474" w:bottom="1474" w:left="1587" w:header="851" w:footer="992" w:gutter="0"/>
          <w:pgNumType w:fmt="numberInDash"/>
          <w:cols w:space="720" w:num="1"/>
          <w:docGrid w:type="linesAndChars" w:linePitch="331" w:charSpace="2856"/>
        </w:sectPr>
      </w:pPr>
      <w:r>
        <w:rPr>
          <w:rFonts w:hint="eastAsia" w:ascii="仿宋_GB2312" w:hAnsi="仿宋_GB2312" w:eastAsia="仿宋_GB2312" w:cs="仿宋_GB2312"/>
          <w:sz w:val="32"/>
          <w:szCs w:val="32"/>
        </w:rPr>
        <w:t>14.区市场监管局：负责指挥部办公室日常工作；负责收集和上报疫苗安全突发事件信息；协调有关部门（单位）开展应急处置工作；控制突发事件所涉及的相关疫苗；负责对疫苗安全突发事件进行调查处理和相关技术鉴定等工作。负责依法依规对疫苗安全突发事件所涉及的商标侵权等违法行为进行调查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Style w:val="7"/>
                              <w:rFonts w:ascii="宋体" w:hAnsi="宋体"/>
                              <w:sz w:val="28"/>
                              <w:szCs w:val="28"/>
                            </w:rPr>
                          </w:pPr>
                          <w:r>
                            <w:rPr>
                              <w:rFonts w:ascii="宋体" w:hAnsi="宋体"/>
                              <w:sz w:val="24"/>
                            </w:rPr>
                            <w:fldChar w:fldCharType="begin"/>
                          </w:r>
                          <w:r>
                            <w:rPr>
                              <w:rStyle w:val="7"/>
                              <w:rFonts w:ascii="宋体" w:hAnsi="宋体"/>
                              <w:sz w:val="24"/>
                            </w:rPr>
                            <w:instrText xml:space="preserve">PAGE  </w:instrText>
                          </w:r>
                          <w:r>
                            <w:rPr>
                              <w:rFonts w:ascii="宋体" w:hAnsi="宋体"/>
                              <w:sz w:val="24"/>
                            </w:rPr>
                            <w:fldChar w:fldCharType="separate"/>
                          </w:r>
                          <w:r>
                            <w:rPr>
                              <w:rStyle w:val="7"/>
                              <w:rFonts w:ascii="宋体" w:hAnsi="宋体"/>
                              <w:sz w:val="24"/>
                            </w:rPr>
                            <w:t>- 68 -</w:t>
                          </w:r>
                          <w:r>
                            <w:rPr>
                              <w:rFonts w:ascii="宋体" w:hAnsi="宋体"/>
                              <w:sz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4"/>
                      <w:rPr>
                        <w:rStyle w:val="7"/>
                        <w:rFonts w:ascii="宋体" w:hAnsi="宋体"/>
                        <w:sz w:val="28"/>
                        <w:szCs w:val="28"/>
                      </w:rPr>
                    </w:pPr>
                    <w:r>
                      <w:rPr>
                        <w:rFonts w:ascii="宋体" w:hAnsi="宋体"/>
                        <w:sz w:val="24"/>
                      </w:rPr>
                      <w:fldChar w:fldCharType="begin"/>
                    </w:r>
                    <w:r>
                      <w:rPr>
                        <w:rStyle w:val="7"/>
                        <w:rFonts w:ascii="宋体" w:hAnsi="宋体"/>
                        <w:sz w:val="24"/>
                      </w:rPr>
                      <w:instrText xml:space="preserve">PAGE  </w:instrText>
                    </w:r>
                    <w:r>
                      <w:rPr>
                        <w:rFonts w:ascii="宋体" w:hAnsi="宋体"/>
                        <w:sz w:val="24"/>
                      </w:rPr>
                      <w:fldChar w:fldCharType="separate"/>
                    </w:r>
                    <w:r>
                      <w:rPr>
                        <w:rStyle w:val="7"/>
                        <w:rFonts w:ascii="宋体" w:hAnsi="宋体"/>
                        <w:sz w:val="24"/>
                      </w:rPr>
                      <w:t>- 68 -</w:t>
                    </w:r>
                    <w:r>
                      <w:rPr>
                        <w:rFonts w:ascii="宋体" w:hAnsi="宋体"/>
                        <w:sz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3"/>
      <w:suff w:val="nothing"/>
      <w:lvlText w:val="%1."/>
      <w:lvlJc w:val="left"/>
      <w:pPr>
        <w:tabs>
          <w:tab w:val="left" w:pos="420"/>
        </w:tabs>
        <w:ind w:left="425" w:hanging="425"/>
      </w:pPr>
      <w:rPr>
        <w:rFonts w:hint="default" w:cs="Times New Roman"/>
      </w:rPr>
    </w:lvl>
    <w:lvl w:ilvl="1" w:tentative="0">
      <w:start w:val="1"/>
      <w:numFmt w:val="decimal"/>
      <w:suff w:val="nothing"/>
      <w:lvlText w:val="%1.%2."/>
      <w:lvlJc w:val="left"/>
      <w:pPr>
        <w:tabs>
          <w:tab w:val="left" w:pos="420"/>
        </w:tabs>
        <w:ind w:left="567" w:hanging="567"/>
      </w:pPr>
      <w:rPr>
        <w:rFonts w:hint="default" w:cs="Times New Roman"/>
      </w:rPr>
    </w:lvl>
    <w:lvl w:ilvl="2" w:tentative="0">
      <w:start w:val="1"/>
      <w:numFmt w:val="decimal"/>
      <w:lvlText w:val="%1.%2.%3."/>
      <w:lvlJc w:val="left"/>
      <w:pPr>
        <w:ind w:left="709" w:hanging="709"/>
      </w:pPr>
      <w:rPr>
        <w:rFonts w:hint="default" w:cs="Times New Roman"/>
      </w:rPr>
    </w:lvl>
    <w:lvl w:ilvl="3" w:tentative="0">
      <w:start w:val="1"/>
      <w:numFmt w:val="decimal"/>
      <w:lvlText w:val="%1.%2.%3.%4."/>
      <w:lvlJc w:val="left"/>
      <w:pPr>
        <w:ind w:left="850" w:hanging="850"/>
      </w:pPr>
      <w:rPr>
        <w:rFonts w:hint="default" w:cs="Times New Roman"/>
      </w:rPr>
    </w:lvl>
    <w:lvl w:ilvl="4" w:tentative="0">
      <w:start w:val="1"/>
      <w:numFmt w:val="decimal"/>
      <w:lvlText w:val="%1.%2.%3.%4.%5."/>
      <w:lvlJc w:val="left"/>
      <w:pPr>
        <w:ind w:left="991" w:hanging="991"/>
      </w:pPr>
      <w:rPr>
        <w:rFonts w:hint="default" w:cs="Times New Roman"/>
      </w:rPr>
    </w:lvl>
    <w:lvl w:ilvl="5" w:tentative="0">
      <w:start w:val="1"/>
      <w:numFmt w:val="decimal"/>
      <w:lvlText w:val="%1.%2.%3.%4.%5.%6."/>
      <w:lvlJc w:val="left"/>
      <w:pPr>
        <w:ind w:left="1134" w:hanging="1134"/>
      </w:pPr>
      <w:rPr>
        <w:rFonts w:hint="default" w:cs="Times New Roman"/>
      </w:rPr>
    </w:lvl>
    <w:lvl w:ilvl="6" w:tentative="0">
      <w:start w:val="1"/>
      <w:numFmt w:val="decimal"/>
      <w:lvlText w:val="%1.%2.%3.%4.%5.%6.%7."/>
      <w:lvlJc w:val="left"/>
      <w:pPr>
        <w:ind w:left="1275" w:hanging="1275"/>
      </w:pPr>
      <w:rPr>
        <w:rFonts w:hint="default" w:cs="Times New Roman"/>
      </w:rPr>
    </w:lvl>
    <w:lvl w:ilvl="7" w:tentative="0">
      <w:start w:val="1"/>
      <w:numFmt w:val="decimal"/>
      <w:lvlText w:val="%1.%2.%3.%4.%5.%6.%7.%8."/>
      <w:lvlJc w:val="left"/>
      <w:pPr>
        <w:ind w:left="1418" w:hanging="1418"/>
      </w:pPr>
      <w:rPr>
        <w:rFonts w:hint="default" w:cs="Times New Roman"/>
      </w:rPr>
    </w:lvl>
    <w:lvl w:ilvl="8" w:tentative="0">
      <w:start w:val="1"/>
      <w:numFmt w:val="decimal"/>
      <w:lvlText w:val="%1.%2.%3.%4.%5.%6.%7.%8.%9."/>
      <w:lvlJc w:val="left"/>
      <w:pPr>
        <w:ind w:left="1558" w:hanging="1558"/>
      </w:pPr>
      <w:rPr>
        <w:rFonts w:hint="default"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B42E75"/>
    <w:rsid w:val="64B42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line="360" w:lineRule="auto"/>
      <w:outlineLvl w:val="0"/>
    </w:pPr>
    <w:rPr>
      <w:rFonts w:eastAsia="黑体"/>
      <w:b/>
      <w:kern w:val="4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character" w:styleId="7">
    <w:name w:val="page number"/>
    <w:basedOn w:val="6"/>
    <w:qFormat/>
    <w:uiPriority w:val="0"/>
  </w:style>
  <w:style w:type="paragraph" w:customStyle="1" w:styleId="8">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2021-12-31T01:35:00Z</dcterms:created>
  <dc:creator>陈仓区政府</dc:creator>
  <cp:lastModifiedBy>陈仓区政府</cp:lastModifiedBy>
  <dcterms:modified xsi:type="dcterms:W3CDTF">2021-12-31T01:38:08Z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044F6061D9F440DFB69469D9580136A5</vt:lpwstr>
  </property>
</Properties>
</file>