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0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keepNext/>
        <w:keepLines/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  <w:lang w:bidi="ar"/>
        </w:rPr>
        <w:t>疫苗安全突发事件分级响应标准</w:t>
      </w:r>
    </w:p>
    <w:bookmarkEnd w:id="0"/>
    <w:tbl>
      <w:tblPr>
        <w:tblStyle w:val="4"/>
        <w:tblW w:w="0" w:type="auto"/>
        <w:tblInd w:w="-1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405"/>
        <w:gridCol w:w="7302"/>
        <w:gridCol w:w="707"/>
        <w:gridCol w:w="5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hd w:val="clear" w:color="auto" w:fill="FFFFFF"/>
                <w:lang w:bidi="ar"/>
              </w:rPr>
              <w:t>分级</w:t>
            </w:r>
          </w:p>
        </w:tc>
        <w:tc>
          <w:tcPr>
            <w:tcW w:w="7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/>
              <w:keepLines/>
              <w:spacing w:line="28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标 准</w:t>
            </w:r>
          </w:p>
        </w:tc>
        <w:tc>
          <w:tcPr>
            <w:tcW w:w="7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响应级别</w:t>
            </w:r>
          </w:p>
        </w:tc>
        <w:tc>
          <w:tcPr>
            <w:tcW w:w="525" w:type="dxa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lang w:bidi="ar"/>
              </w:rPr>
              <w:t>启动级别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restart"/>
            <w:tcBorders>
              <w:top w:val="single" w:color="333333" w:sz="6" w:space="0"/>
              <w:left w:val="single" w:color="333333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级别</w:t>
            </w:r>
          </w:p>
        </w:tc>
        <w:tc>
          <w:tcPr>
            <w:tcW w:w="405" w:type="dxa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特别重大</w:t>
            </w:r>
          </w:p>
        </w:tc>
        <w:tc>
          <w:tcPr>
            <w:tcW w:w="7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/>
              <w:keepLines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1.同一批号疫苗短期内引起5例以上患者死亡，疑似与质量相关的事件；</w:t>
            </w:r>
          </w:p>
          <w:p>
            <w:pPr>
              <w:keepNext/>
              <w:keepLines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在相对集中的时间和区域内，批号相对集中的同一疫苗引起临床表现相似的，且罕见或非预期的不良事件的人数超过20人；或者引起特别严重不良事件（可能对人体造成永久性伤残、对器官功能造成永久性损伤或危及生命）超过5人，疑似与质量相关的事件；</w:t>
            </w:r>
          </w:p>
          <w:p>
            <w:pPr>
              <w:keepNext/>
              <w:keepLines/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3.其他危害特别严重且引发社会影响的疫苗</w:t>
            </w:r>
            <w:r>
              <w:rPr>
                <w:rFonts w:hint="eastAsia" w:ascii="Times New Roman" w:hAnsi="Times New Roman" w:eastAsia="仿宋_GB2312"/>
                <w:sz w:val="24"/>
              </w:rPr>
              <w:t>质量</w:t>
            </w:r>
            <w:r>
              <w:rPr>
                <w:rFonts w:ascii="Times New Roman" w:hAnsi="Times New Roman" w:eastAsia="仿宋_GB2312"/>
                <w:sz w:val="24"/>
              </w:rPr>
              <w:t>安全突发事件。</w:t>
            </w:r>
          </w:p>
        </w:tc>
        <w:tc>
          <w:tcPr>
            <w:tcW w:w="7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Ⅰ级</w:t>
            </w:r>
          </w:p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响应</w:t>
            </w:r>
          </w:p>
        </w:tc>
        <w:tc>
          <w:tcPr>
            <w:tcW w:w="525" w:type="dxa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国家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left w:val="single" w:color="333333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05" w:type="dxa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重大</w:t>
            </w:r>
          </w:p>
        </w:tc>
        <w:tc>
          <w:tcPr>
            <w:tcW w:w="7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/>
              <w:keepLines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1.同一批号疫苗短期内引起2例以上、5例以下患者死亡，疑似与质量相关的事件；</w:t>
            </w:r>
          </w:p>
          <w:p>
            <w:pPr>
              <w:keepNext/>
              <w:keepLines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.在相对集中的时间和区域内，批号相对集中的同一疫苗引起临床表现相似的，且罕见或非预期的不良事件的人数超过10人、不多于20人；或者引起特别严重不良事件（可能对人体造成永久性伤残、对器官功能造成永久性损伤或危及生命）超过3人、不多于5人，疑似与质量相关的事件；</w:t>
            </w:r>
          </w:p>
          <w:p>
            <w:pPr>
              <w:keepNext/>
              <w:keepLines/>
              <w:spacing w:line="320" w:lineRule="exact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3.确认出现质量问题，涉及2个以上省份的；</w:t>
            </w:r>
          </w:p>
          <w:p>
            <w:pPr>
              <w:keepNext/>
              <w:keepLines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4.其他危害严重且引发社会影响的疫苗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质量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安全突发事件。</w:t>
            </w:r>
          </w:p>
        </w:tc>
        <w:tc>
          <w:tcPr>
            <w:tcW w:w="7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lang w:bidi="ar"/>
              </w:rPr>
              <w:t>Ⅱ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级</w:t>
            </w:r>
          </w:p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响应</w:t>
            </w:r>
          </w:p>
        </w:tc>
        <w:tc>
          <w:tcPr>
            <w:tcW w:w="525" w:type="dxa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lang w:bidi="ar"/>
              </w:rPr>
              <w:t>国家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left w:val="single" w:color="333333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05" w:type="dxa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较大</w:t>
            </w:r>
          </w:p>
        </w:tc>
        <w:tc>
          <w:tcPr>
            <w:tcW w:w="73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/>
              <w:keepLines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1.同一批号疫苗短期内引起1例患者死亡，疑似与质量相关的事件；</w:t>
            </w:r>
          </w:p>
          <w:p>
            <w:pPr>
              <w:keepNext/>
              <w:keepLines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2.在相对集中的时间和区域内，批号相对集中的同一疫苗引起临床表现相似的，且罕见或非预期的不良事件的人数超过5人、不多于10人；或者引起特别严重不良事件（可能对人体造成永久性伤残、对器官功能造成永久性损伤或危及生命）超过2人、疑似与质量相关的事件；</w:t>
            </w:r>
          </w:p>
          <w:p>
            <w:pPr>
              <w:keepNext/>
              <w:keepLines/>
              <w:spacing w:line="320" w:lineRule="exact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3.确认出现质量问题，涉及1个省份的；</w:t>
            </w:r>
          </w:p>
          <w:p>
            <w:pPr>
              <w:keepNext/>
              <w:keepLines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4.其他危害较大且引发社会影响局限于某一省份的疫苗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质量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安全突发事件。</w:t>
            </w:r>
          </w:p>
        </w:tc>
        <w:tc>
          <w:tcPr>
            <w:tcW w:w="7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lang w:bidi="ar"/>
              </w:rPr>
              <w:t>Ⅲ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级响应</w:t>
            </w:r>
          </w:p>
        </w:tc>
        <w:tc>
          <w:tcPr>
            <w:tcW w:w="525" w:type="dxa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lang w:bidi="ar"/>
              </w:rPr>
              <w:t>省级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390" w:type="dxa"/>
            <w:vMerge w:val="continue"/>
            <w:tcBorders>
              <w:left w:val="single" w:color="333333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05" w:type="dxa"/>
            <w:tcBorders>
              <w:top w:val="single" w:color="333333" w:sz="6" w:space="0"/>
              <w:left w:val="single" w:color="auto" w:sz="4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一般</w:t>
            </w:r>
          </w:p>
        </w:tc>
        <w:tc>
          <w:tcPr>
            <w:tcW w:w="7302" w:type="dxa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keepNext/>
              <w:keepLines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在相对集中的时间和区域内，批号相对集中的同一疫苗引起临床表现相似的，且罕见或非预期的不良事件的人数超过3人、不多于5人；或者引起特别严重不良事件（可能对人体造成永久性伤残、对器官功能造成永久性损伤或危及生命）超过1人，疑似与质量相关的事件；</w:t>
            </w:r>
          </w:p>
          <w:p>
            <w:pPr>
              <w:keepNext/>
              <w:keepLines/>
              <w:spacing w:line="320" w:lineRule="exact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</w:rPr>
              <w:t>2.其他一般疫苗</w:t>
            </w:r>
            <w:r>
              <w:rPr>
                <w:rFonts w:hint="eastAsia" w:ascii="Times New Roman" w:hAnsi="Times New Roman" w:eastAsia="仿宋_GB2312"/>
                <w:sz w:val="24"/>
              </w:rPr>
              <w:t>质量</w:t>
            </w:r>
            <w:r>
              <w:rPr>
                <w:rFonts w:ascii="Times New Roman" w:hAnsi="Times New Roman" w:eastAsia="仿宋_GB2312"/>
                <w:sz w:val="24"/>
              </w:rPr>
              <w:t>安全突发事件。</w:t>
            </w:r>
          </w:p>
        </w:tc>
        <w:tc>
          <w:tcPr>
            <w:tcW w:w="707" w:type="dxa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Ⅳ级响应</w:t>
            </w:r>
          </w:p>
        </w:tc>
        <w:tc>
          <w:tcPr>
            <w:tcW w:w="525" w:type="dxa"/>
            <w:tcBorders>
              <w:top w:val="single" w:color="333333" w:sz="6" w:space="0"/>
              <w:left w:val="single" w:color="auto" w:sz="4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市级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95" w:type="dxa"/>
            <w:gridSpan w:val="2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非</w:t>
            </w:r>
          </w:p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级</w:t>
            </w:r>
          </w:p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别</w:t>
            </w:r>
          </w:p>
        </w:tc>
        <w:tc>
          <w:tcPr>
            <w:tcW w:w="7302" w:type="dxa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keepNext/>
              <w:keepLines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1.在相对集中的时间和区域内，批号相对集中的同一疫苗引起临床表现相似的，且罕见或非预期的不良事件人数</w:t>
            </w:r>
            <w:r>
              <w:rPr>
                <w:rFonts w:hint="eastAsia" w:ascii="Times New Roman" w:hAnsi="Times New Roman" w:eastAsia="仿宋_GB2312"/>
                <w:sz w:val="24"/>
              </w:rPr>
              <w:t>不超过</w:t>
            </w:r>
            <w:r>
              <w:rPr>
                <w:rFonts w:ascii="Times New Roman" w:hAnsi="Times New Roman" w:eastAsia="仿宋_GB2312"/>
                <w:sz w:val="24"/>
              </w:rPr>
              <w:t>2人；</w:t>
            </w:r>
          </w:p>
          <w:p>
            <w:pPr>
              <w:pStyle w:val="2"/>
              <w:spacing w:line="320" w:lineRule="exact"/>
              <w:ind w:firstLine="0" w:firstLineChars="0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sz w:val="24"/>
              </w:rPr>
              <w:t>2.</w:t>
            </w:r>
            <w:r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县级以上人民政府认定的非级别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疫苗安全或舆情突发事件。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333333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hd w:val="clear" w:color="auto" w:fill="FFFFFF"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</w:p>
          <w:p>
            <w:pPr>
              <w:keepNext/>
              <w:keepLines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非级别响应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keepNext/>
              <w:keepLines/>
              <w:spacing w:line="3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县级</w:t>
            </w:r>
          </w:p>
        </w:tc>
      </w:tr>
    </w:tbl>
    <w:p>
      <w:pPr>
        <w:pStyle w:val="3"/>
        <w:numPr>
          <w:ilvl w:val="0"/>
          <w:numId w:val="0"/>
        </w:numPr>
        <w:spacing w:line="400" w:lineRule="exact"/>
        <w:rPr>
          <w:rFonts w:ascii="Times New Roman" w:hAnsi="Times New Roman" w:eastAsia="仿宋_GB2312"/>
          <w:b w:val="0"/>
          <w:bCs/>
          <w:kern w:val="2"/>
          <w:sz w:val="24"/>
          <w:shd w:val="clear" w:color="auto" w:fill="FFFFFF"/>
          <w:lang w:bidi="ar"/>
        </w:rPr>
      </w:pPr>
      <w:r>
        <w:rPr>
          <w:rFonts w:ascii="Times New Roman" w:hAnsi="Times New Roman" w:eastAsia="仿宋_GB2312"/>
          <w:b w:val="0"/>
          <w:bCs/>
          <w:kern w:val="2"/>
          <w:sz w:val="24"/>
          <w:shd w:val="clear" w:color="auto" w:fill="FFFFFF"/>
          <w:lang w:bidi="ar"/>
        </w:rPr>
        <w:t>注：本预案</w:t>
      </w:r>
      <w:r>
        <w:rPr>
          <w:rFonts w:hint="eastAsia" w:ascii="Times New Roman" w:hAnsi="Times New Roman" w:eastAsia="仿宋_GB2312"/>
          <w:b w:val="0"/>
          <w:bCs/>
          <w:kern w:val="2"/>
          <w:sz w:val="24"/>
          <w:shd w:val="clear" w:color="auto" w:fill="FFFFFF"/>
          <w:lang w:bidi="ar"/>
        </w:rPr>
        <w:t>有关</w:t>
      </w:r>
      <w:r>
        <w:rPr>
          <w:rFonts w:ascii="Times New Roman" w:hAnsi="Times New Roman" w:eastAsia="仿宋_GB2312"/>
          <w:b w:val="0"/>
          <w:bCs/>
          <w:kern w:val="2"/>
          <w:sz w:val="24"/>
          <w:shd w:val="clear" w:color="auto" w:fill="FFFFFF"/>
          <w:lang w:bidi="ar"/>
        </w:rPr>
        <w:t>数量表述中，“以上”“超过”含本数，“以下”</w:t>
      </w:r>
      <w:r>
        <w:rPr>
          <w:rFonts w:hint="eastAsia" w:ascii="Times New Roman" w:hAnsi="Times New Roman" w:eastAsia="仿宋_GB2312"/>
          <w:b w:val="0"/>
          <w:bCs/>
          <w:kern w:val="2"/>
          <w:sz w:val="24"/>
          <w:shd w:val="clear" w:color="auto" w:fill="FFFFFF"/>
          <w:lang w:bidi="ar"/>
        </w:rPr>
        <w:t>“</w:t>
      </w:r>
      <w:r>
        <w:rPr>
          <w:rFonts w:hint="eastAsia" w:ascii="Times New Roman" w:hAnsi="Times New Roman" w:eastAsia="仿宋_GB2312"/>
          <w:b w:val="0"/>
          <w:bCs/>
          <w:kern w:val="2"/>
          <w:sz w:val="24"/>
        </w:rPr>
        <w:t>不超过”</w:t>
      </w:r>
      <w:r>
        <w:rPr>
          <w:rFonts w:ascii="Times New Roman" w:hAnsi="Times New Roman" w:eastAsia="仿宋_GB2312"/>
          <w:b w:val="0"/>
          <w:bCs/>
          <w:kern w:val="2"/>
          <w:sz w:val="24"/>
          <w:shd w:val="clear" w:color="auto" w:fill="FFFFFF"/>
          <w:lang w:bidi="ar"/>
        </w:rPr>
        <w:t>不含本数。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3"/>
      <w:suff w:val="nothing"/>
      <w:lvlText w:val="%1."/>
      <w:lvlJc w:val="left"/>
      <w:pPr>
        <w:tabs>
          <w:tab w:val="left" w:pos="420"/>
        </w:tabs>
        <w:ind w:left="425" w:hanging="425"/>
      </w:pPr>
      <w:rPr>
        <w:rFonts w:hint="default" w:cs="Times New Roman"/>
      </w:rPr>
    </w:lvl>
    <w:lvl w:ilvl="1" w:tentative="0">
      <w:start w:val="1"/>
      <w:numFmt w:val="decimal"/>
      <w:suff w:val="nothing"/>
      <w:lvlText w:val="%1.%2."/>
      <w:lvlJc w:val="left"/>
      <w:pPr>
        <w:tabs>
          <w:tab w:val="left" w:pos="420"/>
        </w:tabs>
        <w:ind w:left="567" w:hanging="567"/>
      </w:pPr>
      <w:rPr>
        <w:rFonts w:hint="default" w:cs="Times New Roman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cs="Times New Roman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 w:cs="Times New Roman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 w:cs="Times New Roman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B1777"/>
    <w:rsid w:val="4DF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rFonts w:eastAsia="黑体"/>
      <w:b/>
      <w:kern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2021-12-31T01:35:00Z</dcterms:created>
  <dc:creator>陈仓区政府</dc:creator>
  <cp:lastModifiedBy>陈仓区政府</cp:lastModifiedBy>
  <dcterms:modified xsi:type="dcterms:W3CDTF">2021-12-31T01:37:05Z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47A7C7428BE34F00B469973D958BA05C</vt:lpwstr>
  </property>
</Properties>
</file>